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83" w:rsidRPr="00A33583" w:rsidRDefault="00A33583" w:rsidP="00A33583">
      <w:pPr>
        <w:rPr>
          <w:b/>
          <w:sz w:val="24"/>
          <w:szCs w:val="24"/>
        </w:rPr>
      </w:pPr>
    </w:p>
    <w:p w:rsidR="00A33583" w:rsidRPr="00A33583" w:rsidRDefault="002948A4" w:rsidP="00A33583">
      <w:pPr>
        <w:pStyle w:val="ListParagraph"/>
        <w:numPr>
          <w:ilvl w:val="0"/>
          <w:numId w:val="17"/>
        </w:numPr>
        <w:jc w:val="center"/>
        <w:rPr>
          <w:b/>
          <w:sz w:val="36"/>
          <w:szCs w:val="24"/>
        </w:rPr>
      </w:pPr>
      <w:r w:rsidRPr="00A33583">
        <w:rPr>
          <w:b/>
          <w:sz w:val="36"/>
          <w:szCs w:val="24"/>
        </w:rPr>
        <w:t>COMMON LAW OFFENCES AND MARKETS</w:t>
      </w:r>
      <w:r w:rsidR="00A33583" w:rsidRPr="00A33583">
        <w:rPr>
          <w:b/>
          <w:sz w:val="36"/>
          <w:szCs w:val="24"/>
        </w:rPr>
        <w:t xml:space="preserve">: </w:t>
      </w:r>
      <w:r w:rsidR="003E21F3" w:rsidRPr="00A33583">
        <w:rPr>
          <w:b/>
          <w:sz w:val="36"/>
          <w:szCs w:val="24"/>
        </w:rPr>
        <w:t>Tony Shaw QC</w:t>
      </w:r>
      <w:bookmarkStart w:id="0" w:name="_GoBack"/>
      <w:bookmarkEnd w:id="0"/>
    </w:p>
    <w:p w:rsidR="002948A4" w:rsidRPr="00556AD5" w:rsidRDefault="002948A4">
      <w:pPr>
        <w:rPr>
          <w:b/>
          <w:sz w:val="36"/>
          <w:szCs w:val="24"/>
        </w:rPr>
      </w:pPr>
      <w:r w:rsidRPr="00556AD5">
        <w:rPr>
          <w:b/>
          <w:sz w:val="36"/>
          <w:szCs w:val="24"/>
        </w:rPr>
        <w:br w:type="page"/>
      </w:r>
    </w:p>
    <w:p w:rsidR="00A658B3" w:rsidRPr="00556AD5" w:rsidRDefault="00CE5282" w:rsidP="008516D4">
      <w:pPr>
        <w:jc w:val="center"/>
        <w:rPr>
          <w:b/>
          <w:sz w:val="24"/>
          <w:szCs w:val="24"/>
        </w:rPr>
      </w:pPr>
      <w:r w:rsidRPr="00556AD5">
        <w:rPr>
          <w:b/>
          <w:sz w:val="28"/>
          <w:szCs w:val="24"/>
        </w:rPr>
        <w:lastRenderedPageBreak/>
        <w:t>COMMON LAW</w:t>
      </w:r>
      <w:r w:rsidR="00D87364" w:rsidRPr="00556AD5">
        <w:rPr>
          <w:b/>
          <w:sz w:val="28"/>
          <w:szCs w:val="24"/>
        </w:rPr>
        <w:t xml:space="preserve"> OFFENCES AND MARKETS</w:t>
      </w:r>
    </w:p>
    <w:p w:rsidR="00CE5282" w:rsidRPr="00556AD5" w:rsidRDefault="002948A4" w:rsidP="008516D4">
      <w:pPr>
        <w:ind w:left="1440" w:firstLine="720"/>
        <w:rPr>
          <w:b/>
          <w:sz w:val="24"/>
          <w:szCs w:val="24"/>
        </w:rPr>
      </w:pPr>
      <w:r w:rsidRPr="00556AD5">
        <w:rPr>
          <w:i/>
          <w:sz w:val="24"/>
          <w:szCs w:val="24"/>
        </w:rPr>
        <w:t xml:space="preserve">    </w:t>
      </w:r>
    </w:p>
    <w:p w:rsidR="004E5D7A" w:rsidRPr="008516D4" w:rsidRDefault="006F4EFB" w:rsidP="004E5D7A">
      <w:pPr>
        <w:pStyle w:val="ASQC"/>
      </w:pPr>
      <w:r w:rsidRPr="00556AD5">
        <w:t xml:space="preserve">Market manipulation comes in many forms. At its heart lies the simple proposition that the perpetrator of any fraud has information which is not available to the </w:t>
      </w:r>
      <w:r w:rsidR="008516D4">
        <w:t xml:space="preserve">other traders or the </w:t>
      </w:r>
      <w:r w:rsidRPr="00556AD5">
        <w:t>public</w:t>
      </w:r>
      <w:r w:rsidR="008516D4">
        <w:t>.</w:t>
      </w:r>
      <w:r w:rsidRPr="00556AD5">
        <w:t xml:space="preserve"> The criminal manipulation of financial markets is ultimately about the dishonest control or acquisition of such information. Data may be falsified</w:t>
      </w:r>
      <w:r w:rsidR="00570077">
        <w:t xml:space="preserve"> to assist traders (e.g. LIBOR); </w:t>
      </w:r>
      <w:r w:rsidR="008516D4">
        <w:t xml:space="preserve"> </w:t>
      </w:r>
      <w:r w:rsidRPr="00556AD5">
        <w:t xml:space="preserve"> </w:t>
      </w:r>
      <w:r w:rsidR="00570077">
        <w:t>k</w:t>
      </w:r>
      <w:r w:rsidRPr="00556AD5">
        <w:t xml:space="preserve">nowledge </w:t>
      </w:r>
      <w:r w:rsidR="008516D4">
        <w:t xml:space="preserve">can be </w:t>
      </w:r>
      <w:r w:rsidRPr="00556AD5">
        <w:t>acquired illegitimately</w:t>
      </w:r>
      <w:r w:rsidR="008516D4">
        <w:t xml:space="preserve"> allowing </w:t>
      </w:r>
      <w:r w:rsidRPr="008516D4">
        <w:t xml:space="preserve">the direction of market movement </w:t>
      </w:r>
      <w:r w:rsidR="008516D4">
        <w:t xml:space="preserve">to be anticipated </w:t>
      </w:r>
      <w:r w:rsidRPr="008516D4">
        <w:t>(insider trading)</w:t>
      </w:r>
      <w:r w:rsidR="00570077">
        <w:t>; and p</w:t>
      </w:r>
      <w:r w:rsidR="008516D4">
        <w:t>rices movement</w:t>
      </w:r>
      <w:r w:rsidR="00570077">
        <w:t>s</w:t>
      </w:r>
      <w:r w:rsidR="008516D4">
        <w:t xml:space="preserve"> may be controlled</w:t>
      </w:r>
      <w:r w:rsidRPr="008516D4">
        <w:t xml:space="preserve"> </w:t>
      </w:r>
      <w:r w:rsidR="008516D4">
        <w:t xml:space="preserve">or influenced by </w:t>
      </w:r>
      <w:r w:rsidRPr="008516D4">
        <w:t>illegal share support operations</w:t>
      </w:r>
      <w:r w:rsidRPr="00556AD5">
        <w:rPr>
          <w:rStyle w:val="FootnoteReference"/>
        </w:rPr>
        <w:footnoteReference w:id="1"/>
      </w:r>
      <w:r w:rsidR="00570077">
        <w:t xml:space="preserve"> or the</w:t>
      </w:r>
      <w:r w:rsidRPr="008516D4">
        <w:t xml:space="preserve"> spreading false rumours.</w:t>
      </w:r>
      <w:r w:rsidR="008516D4" w:rsidRPr="008516D4">
        <w:rPr>
          <w:rStyle w:val="FootnoteReference"/>
        </w:rPr>
        <w:t xml:space="preserve"> </w:t>
      </w:r>
      <w:r w:rsidR="008516D4" w:rsidRPr="00556AD5">
        <w:rPr>
          <w:rStyle w:val="FootnoteReference"/>
        </w:rPr>
        <w:footnoteReference w:id="2"/>
      </w:r>
      <w:r w:rsidR="004E5D7A">
        <w:t xml:space="preserve"> </w:t>
      </w:r>
    </w:p>
    <w:p w:rsidR="00677357" w:rsidRDefault="006F4EFB" w:rsidP="004C438A">
      <w:pPr>
        <w:pStyle w:val="ListParagraph"/>
        <w:numPr>
          <w:ilvl w:val="0"/>
          <w:numId w:val="11"/>
        </w:numPr>
        <w:ind w:left="567" w:hanging="567"/>
        <w:rPr>
          <w:sz w:val="24"/>
          <w:szCs w:val="24"/>
        </w:rPr>
      </w:pPr>
      <w:r w:rsidRPr="00556AD5">
        <w:rPr>
          <w:sz w:val="24"/>
          <w:szCs w:val="24"/>
        </w:rPr>
        <w:t xml:space="preserve">Such activities are usually made criminal by legislation. Insider trading is covered by s57 of the </w:t>
      </w:r>
      <w:r w:rsidRPr="00556AD5">
        <w:rPr>
          <w:i/>
          <w:sz w:val="24"/>
          <w:szCs w:val="24"/>
        </w:rPr>
        <w:t>Criminal Justice Act</w:t>
      </w:r>
      <w:r w:rsidRPr="00556AD5">
        <w:rPr>
          <w:sz w:val="24"/>
          <w:szCs w:val="24"/>
        </w:rPr>
        <w:t xml:space="preserve"> 1993, and market manipulation by s397 of the </w:t>
      </w:r>
      <w:r w:rsidRPr="00556AD5">
        <w:rPr>
          <w:i/>
          <w:sz w:val="24"/>
          <w:szCs w:val="24"/>
        </w:rPr>
        <w:t>Financial Services and Markets Act</w:t>
      </w:r>
      <w:r w:rsidRPr="00556AD5">
        <w:rPr>
          <w:sz w:val="24"/>
          <w:szCs w:val="24"/>
        </w:rPr>
        <w:t xml:space="preserve"> 2000 (FSMA).  Legislation to similar effect is found in many other countries as well as the European Union.</w:t>
      </w:r>
      <w:r w:rsidRPr="00556AD5">
        <w:rPr>
          <w:rStyle w:val="FootnoteReference"/>
          <w:sz w:val="24"/>
          <w:szCs w:val="24"/>
        </w:rPr>
        <w:footnoteReference w:id="3"/>
      </w:r>
    </w:p>
    <w:p w:rsidR="004C438A" w:rsidRPr="004C438A" w:rsidRDefault="004C438A" w:rsidP="004C438A">
      <w:pPr>
        <w:pStyle w:val="ListParagraph"/>
        <w:ind w:left="567"/>
        <w:rPr>
          <w:sz w:val="24"/>
          <w:szCs w:val="24"/>
        </w:rPr>
      </w:pPr>
    </w:p>
    <w:p w:rsidR="00AD69B2" w:rsidRPr="00556AD5" w:rsidRDefault="006F4EFB" w:rsidP="00340B2A">
      <w:pPr>
        <w:pStyle w:val="ListParagraph"/>
        <w:numPr>
          <w:ilvl w:val="0"/>
          <w:numId w:val="11"/>
        </w:numPr>
        <w:ind w:left="567" w:hanging="567"/>
        <w:rPr>
          <w:sz w:val="24"/>
          <w:szCs w:val="24"/>
        </w:rPr>
      </w:pPr>
      <w:r w:rsidRPr="00556AD5">
        <w:rPr>
          <w:sz w:val="24"/>
          <w:szCs w:val="24"/>
        </w:rPr>
        <w:t xml:space="preserve">Part 1 deals with the </w:t>
      </w:r>
      <w:r w:rsidR="00556AD5" w:rsidRPr="00556AD5">
        <w:rPr>
          <w:sz w:val="24"/>
          <w:szCs w:val="24"/>
        </w:rPr>
        <w:t xml:space="preserve">earliest form of </w:t>
      </w:r>
      <w:r w:rsidRPr="00556AD5">
        <w:rPr>
          <w:sz w:val="24"/>
          <w:szCs w:val="24"/>
        </w:rPr>
        <w:t xml:space="preserve">common law control of markets and </w:t>
      </w:r>
      <w:r w:rsidR="00570077">
        <w:rPr>
          <w:sz w:val="24"/>
          <w:szCs w:val="24"/>
        </w:rPr>
        <w:t>how far it continues</w:t>
      </w:r>
      <w:r w:rsidRPr="00556AD5">
        <w:rPr>
          <w:sz w:val="24"/>
          <w:szCs w:val="24"/>
        </w:rPr>
        <w:t xml:space="preserve"> </w:t>
      </w:r>
      <w:r w:rsidR="00D13A00">
        <w:rPr>
          <w:sz w:val="24"/>
          <w:szCs w:val="24"/>
        </w:rPr>
        <w:t>today</w:t>
      </w:r>
      <w:r w:rsidRPr="00556AD5">
        <w:rPr>
          <w:sz w:val="24"/>
          <w:szCs w:val="24"/>
        </w:rPr>
        <w:t xml:space="preserve">. </w:t>
      </w:r>
      <w:r w:rsidR="00AD69B2" w:rsidRPr="00556AD5">
        <w:rPr>
          <w:sz w:val="24"/>
          <w:szCs w:val="24"/>
        </w:rPr>
        <w:t xml:space="preserve">To some extent </w:t>
      </w:r>
      <w:r w:rsidR="00340B2A" w:rsidRPr="00556AD5">
        <w:rPr>
          <w:sz w:val="24"/>
          <w:szCs w:val="24"/>
        </w:rPr>
        <w:t xml:space="preserve">this part </w:t>
      </w:r>
      <w:r w:rsidR="00AD69B2" w:rsidRPr="00556AD5">
        <w:rPr>
          <w:sz w:val="24"/>
          <w:szCs w:val="24"/>
        </w:rPr>
        <w:t xml:space="preserve">is a work in progress. </w:t>
      </w:r>
      <w:r w:rsidR="00340B2A" w:rsidRPr="00556AD5">
        <w:rPr>
          <w:sz w:val="24"/>
          <w:szCs w:val="24"/>
        </w:rPr>
        <w:t xml:space="preserve"> </w:t>
      </w:r>
      <w:r w:rsidRPr="00556AD5">
        <w:rPr>
          <w:sz w:val="24"/>
          <w:szCs w:val="24"/>
        </w:rPr>
        <w:t>Part</w:t>
      </w:r>
      <w:r w:rsidR="00677357" w:rsidRPr="00556AD5">
        <w:rPr>
          <w:sz w:val="24"/>
          <w:szCs w:val="24"/>
        </w:rPr>
        <w:t xml:space="preserve"> </w:t>
      </w:r>
      <w:r w:rsidRPr="00556AD5">
        <w:rPr>
          <w:sz w:val="24"/>
          <w:szCs w:val="24"/>
        </w:rPr>
        <w:t xml:space="preserve">2 </w:t>
      </w:r>
      <w:r w:rsidR="00677357" w:rsidRPr="00556AD5">
        <w:rPr>
          <w:sz w:val="24"/>
          <w:szCs w:val="24"/>
        </w:rPr>
        <w:t>deal</w:t>
      </w:r>
      <w:r w:rsidR="00340B2A" w:rsidRPr="00556AD5">
        <w:rPr>
          <w:sz w:val="24"/>
          <w:szCs w:val="24"/>
        </w:rPr>
        <w:t>s</w:t>
      </w:r>
      <w:r w:rsidRPr="00556AD5">
        <w:rPr>
          <w:sz w:val="24"/>
          <w:szCs w:val="24"/>
        </w:rPr>
        <w:t xml:space="preserve"> with conspiracy</w:t>
      </w:r>
      <w:r w:rsidR="00340B2A" w:rsidRPr="00556AD5">
        <w:rPr>
          <w:sz w:val="24"/>
          <w:szCs w:val="24"/>
        </w:rPr>
        <w:t xml:space="preserve"> to defraud.</w:t>
      </w:r>
      <w:r w:rsidR="00677357" w:rsidRPr="00556AD5">
        <w:rPr>
          <w:sz w:val="24"/>
          <w:szCs w:val="24"/>
        </w:rPr>
        <w:t xml:space="preserve"> </w:t>
      </w:r>
      <w:r w:rsidR="00340B2A" w:rsidRPr="00556AD5">
        <w:rPr>
          <w:sz w:val="24"/>
          <w:szCs w:val="24"/>
        </w:rPr>
        <w:t xml:space="preserve">Part 3 </w:t>
      </w:r>
      <w:r w:rsidR="00556AD5" w:rsidRPr="00556AD5">
        <w:rPr>
          <w:sz w:val="24"/>
          <w:szCs w:val="24"/>
        </w:rPr>
        <w:t xml:space="preserve">deals with the </w:t>
      </w:r>
      <w:r w:rsidR="00340B2A" w:rsidRPr="00556AD5">
        <w:rPr>
          <w:sz w:val="24"/>
          <w:szCs w:val="24"/>
        </w:rPr>
        <w:t xml:space="preserve">theoretical </w:t>
      </w:r>
      <w:r w:rsidR="00D13A00">
        <w:rPr>
          <w:sz w:val="24"/>
          <w:szCs w:val="24"/>
        </w:rPr>
        <w:t xml:space="preserve">width </w:t>
      </w:r>
      <w:r w:rsidR="00556AD5" w:rsidRPr="00556AD5">
        <w:rPr>
          <w:sz w:val="24"/>
          <w:szCs w:val="24"/>
        </w:rPr>
        <w:t xml:space="preserve">of conspiracy to defraud and </w:t>
      </w:r>
      <w:r w:rsidR="00340B2A" w:rsidRPr="00556AD5">
        <w:rPr>
          <w:sz w:val="24"/>
          <w:szCs w:val="24"/>
        </w:rPr>
        <w:t>its limitations.</w:t>
      </w:r>
      <w:r w:rsidR="00340B2A" w:rsidRPr="00556AD5">
        <w:rPr>
          <w:b/>
          <w:sz w:val="24"/>
          <w:szCs w:val="24"/>
        </w:rPr>
        <w:t xml:space="preserve"> </w:t>
      </w:r>
    </w:p>
    <w:p w:rsidR="008516D4" w:rsidRDefault="008516D4">
      <w:pPr>
        <w:rPr>
          <w:b/>
          <w:sz w:val="24"/>
          <w:szCs w:val="24"/>
        </w:rPr>
      </w:pPr>
      <w:r>
        <w:rPr>
          <w:b/>
          <w:sz w:val="24"/>
          <w:szCs w:val="24"/>
        </w:rPr>
        <w:br w:type="page"/>
      </w:r>
    </w:p>
    <w:p w:rsidR="00340B2A" w:rsidRPr="00556AD5" w:rsidRDefault="00340B2A" w:rsidP="00340B2A">
      <w:pPr>
        <w:pStyle w:val="ListParagraph"/>
        <w:ind w:left="567"/>
        <w:rPr>
          <w:b/>
          <w:sz w:val="24"/>
          <w:szCs w:val="24"/>
        </w:rPr>
      </w:pPr>
    </w:p>
    <w:p w:rsidR="006F4EFB" w:rsidRPr="00556AD5" w:rsidRDefault="00556AD5" w:rsidP="00556AD5">
      <w:pPr>
        <w:ind w:firstLine="567"/>
        <w:rPr>
          <w:smallCaps/>
          <w:sz w:val="24"/>
          <w:szCs w:val="24"/>
        </w:rPr>
      </w:pPr>
      <w:r>
        <w:rPr>
          <w:b/>
          <w:smallCaps/>
          <w:sz w:val="24"/>
          <w:szCs w:val="24"/>
        </w:rPr>
        <w:t xml:space="preserve">PART 1:  </w:t>
      </w:r>
      <w:r w:rsidRPr="00556AD5">
        <w:rPr>
          <w:b/>
          <w:smallCaps/>
          <w:sz w:val="24"/>
          <w:szCs w:val="24"/>
        </w:rPr>
        <w:t xml:space="preserve">Early </w:t>
      </w:r>
      <w:r w:rsidR="006F4EFB" w:rsidRPr="00556AD5">
        <w:rPr>
          <w:b/>
          <w:smallCaps/>
          <w:sz w:val="24"/>
          <w:szCs w:val="24"/>
        </w:rPr>
        <w:t>Common Law Control of Markets</w:t>
      </w:r>
      <w:r w:rsidR="006F4EFB" w:rsidRPr="00556AD5">
        <w:rPr>
          <w:smallCaps/>
          <w:sz w:val="24"/>
          <w:szCs w:val="24"/>
        </w:rPr>
        <w:t xml:space="preserve">. </w:t>
      </w:r>
    </w:p>
    <w:p w:rsidR="00AD69B2" w:rsidRDefault="008516D4" w:rsidP="00AD69B2">
      <w:pPr>
        <w:pStyle w:val="ListParagraph"/>
        <w:ind w:left="567"/>
        <w:rPr>
          <w:sz w:val="24"/>
          <w:szCs w:val="24"/>
        </w:rPr>
      </w:pPr>
      <w:r w:rsidRPr="00556AD5">
        <w:rPr>
          <w:i/>
          <w:sz w:val="24"/>
          <w:szCs w:val="24"/>
        </w:rPr>
        <w:t>The past is never past. It is not even dead</w:t>
      </w:r>
      <w:r w:rsidRPr="00556AD5">
        <w:rPr>
          <w:sz w:val="24"/>
          <w:szCs w:val="24"/>
        </w:rPr>
        <w:t>.</w:t>
      </w:r>
      <w:r w:rsidRPr="00556AD5">
        <w:rPr>
          <w:rStyle w:val="FootnoteReference"/>
          <w:sz w:val="24"/>
          <w:szCs w:val="24"/>
        </w:rPr>
        <w:footnoteReference w:id="4"/>
      </w:r>
      <w:r w:rsidRPr="00556AD5">
        <w:rPr>
          <w:sz w:val="24"/>
          <w:szCs w:val="24"/>
        </w:rPr>
        <w:t xml:space="preserve">  </w:t>
      </w:r>
    </w:p>
    <w:p w:rsidR="008516D4" w:rsidRDefault="008516D4" w:rsidP="00AD69B2">
      <w:pPr>
        <w:pStyle w:val="ListParagraph"/>
        <w:ind w:left="567"/>
        <w:rPr>
          <w:sz w:val="24"/>
          <w:szCs w:val="24"/>
        </w:rPr>
      </w:pPr>
    </w:p>
    <w:p w:rsidR="005056F7" w:rsidRDefault="005056F7" w:rsidP="005056F7">
      <w:pPr>
        <w:pStyle w:val="ASQC"/>
      </w:pPr>
      <w:r>
        <w:t xml:space="preserve">Control of market activity by </w:t>
      </w:r>
      <w:r w:rsidR="00CC751B">
        <w:t>the criminal law is</w:t>
      </w:r>
      <w:r>
        <w:t xml:space="preserve"> </w:t>
      </w:r>
      <w:r w:rsidR="00883BE1">
        <w:t xml:space="preserve">both ancient and </w:t>
      </w:r>
      <w:r>
        <w:t xml:space="preserve">commonplace.  The </w:t>
      </w:r>
      <w:proofErr w:type="spellStart"/>
      <w:r w:rsidRPr="005056F7">
        <w:rPr>
          <w:i/>
        </w:rPr>
        <w:t>lex</w:t>
      </w:r>
      <w:proofErr w:type="spellEnd"/>
      <w:r w:rsidRPr="005056F7">
        <w:rPr>
          <w:i/>
        </w:rPr>
        <w:t xml:space="preserve"> Julia Annona</w:t>
      </w:r>
      <w:r>
        <w:t xml:space="preserve"> </w:t>
      </w:r>
      <w:r w:rsidR="00B729C9">
        <w:t xml:space="preserve">(possibly introduced by Julius Caesar) </w:t>
      </w:r>
      <w:r>
        <w:t>imposed a heavy fine on those who artificially increased the price of corn.</w:t>
      </w:r>
      <w:r>
        <w:rPr>
          <w:rStyle w:val="FootnoteReference"/>
        </w:rPr>
        <w:footnoteReference w:id="5"/>
      </w:r>
      <w:r>
        <w:t xml:space="preserve"> </w:t>
      </w:r>
      <w:r w:rsidR="00B729C9">
        <w:t xml:space="preserve"> Diocletian</w:t>
      </w:r>
      <w:r w:rsidR="00883BE1">
        <w:t xml:space="preserve">’s </w:t>
      </w:r>
      <w:r w:rsidR="00B729C9" w:rsidRPr="00B729C9">
        <w:rPr>
          <w:i/>
        </w:rPr>
        <w:t>Edict on Price-Control</w:t>
      </w:r>
      <w:r w:rsidR="00B729C9">
        <w:t xml:space="preserve"> </w:t>
      </w:r>
      <w:r w:rsidR="00883BE1">
        <w:t xml:space="preserve">in AD 301 </w:t>
      </w:r>
      <w:r w:rsidR="009E4301">
        <w:t>set out maximum prices, the</w:t>
      </w:r>
      <w:r w:rsidR="00B729C9">
        <w:t xml:space="preserve"> violation of which was punishable by deat</w:t>
      </w:r>
      <w:r w:rsidR="00CC751B">
        <w:t>h.</w:t>
      </w:r>
      <w:r w:rsidR="00CC751B">
        <w:rPr>
          <w:rStyle w:val="FootnoteReference"/>
        </w:rPr>
        <w:footnoteReference w:id="6"/>
      </w:r>
      <w:r w:rsidR="00B729C9">
        <w:t xml:space="preserve"> In</w:t>
      </w:r>
      <w:r w:rsidR="00CC751B">
        <w:t xml:space="preserve"> 483 </w:t>
      </w:r>
      <w:r w:rsidR="00B729C9">
        <w:t xml:space="preserve">Zeno issued an </w:t>
      </w:r>
      <w:r w:rsidR="00B729C9">
        <w:rPr>
          <w:i/>
        </w:rPr>
        <w:t>Edict against Mon</w:t>
      </w:r>
      <w:r w:rsidR="00B729C9" w:rsidRPr="00B729C9">
        <w:rPr>
          <w:i/>
        </w:rPr>
        <w:t>opolies</w:t>
      </w:r>
      <w:r w:rsidR="00B729C9">
        <w:rPr>
          <w:i/>
        </w:rPr>
        <w:t xml:space="preserve"> </w:t>
      </w:r>
      <w:r w:rsidR="00B729C9">
        <w:t>which prohibited price-fixing agreements.</w:t>
      </w:r>
      <w:r w:rsidR="008E3C9A">
        <w:rPr>
          <w:rStyle w:val="FootnoteReference"/>
        </w:rPr>
        <w:footnoteReference w:id="7"/>
      </w:r>
      <w:r w:rsidR="00F74B5D">
        <w:t xml:space="preserve"> </w:t>
      </w:r>
      <w:r w:rsidR="00CC751B">
        <w:t xml:space="preserve"> There are </w:t>
      </w:r>
      <w:r w:rsidR="00570077">
        <w:t xml:space="preserve">religious prohibitions.  </w:t>
      </w:r>
      <w:r w:rsidR="00CE4D86">
        <w:t xml:space="preserve">The Talmud forbade hoarding of food essentials and </w:t>
      </w:r>
      <w:r w:rsidR="00570077">
        <w:t xml:space="preserve">making </w:t>
      </w:r>
      <w:r w:rsidR="00CE4D86">
        <w:t>excessive profits</w:t>
      </w:r>
      <w:r w:rsidR="00570077">
        <w:t>;</w:t>
      </w:r>
      <w:r w:rsidR="00883BE1">
        <w:t xml:space="preserve"> </w:t>
      </w:r>
      <w:r w:rsidR="00CE4D86">
        <w:t xml:space="preserve">Islam </w:t>
      </w:r>
      <w:r w:rsidR="00CC751B">
        <w:t>denigrated</w:t>
      </w:r>
      <w:r w:rsidR="00CE4D86">
        <w:t xml:space="preserve"> speculative activity (</w:t>
      </w:r>
      <w:proofErr w:type="spellStart"/>
      <w:r w:rsidR="00CE4D86" w:rsidRPr="00CC751B">
        <w:rPr>
          <w:i/>
        </w:rPr>
        <w:t>gharar</w:t>
      </w:r>
      <w:proofErr w:type="spellEnd"/>
      <w:r w:rsidR="00CE4D86">
        <w:t>)</w:t>
      </w:r>
      <w:r w:rsidR="00570077">
        <w:t>;</w:t>
      </w:r>
      <w:r w:rsidR="00883BE1">
        <w:t xml:space="preserve"> and</w:t>
      </w:r>
      <w:r w:rsidR="00CE4D86">
        <w:t xml:space="preserve"> St Thomas Aquinas condemned </w:t>
      </w:r>
      <w:r w:rsidR="00883BE1">
        <w:t xml:space="preserve">for mere profiteering </w:t>
      </w:r>
      <w:r w:rsidR="00CE4D86">
        <w:t>the “</w:t>
      </w:r>
      <w:r w:rsidR="00CE4D86" w:rsidRPr="00CE4D86">
        <w:rPr>
          <w:i/>
        </w:rPr>
        <w:t>buying of goods in the market with the intention to resell them at a higher price.</w:t>
      </w:r>
      <w:r w:rsidR="00CE4D86">
        <w:t>”</w:t>
      </w:r>
      <w:r w:rsidR="00CE4D86">
        <w:rPr>
          <w:rStyle w:val="FootnoteReference"/>
        </w:rPr>
        <w:footnoteReference w:id="8"/>
      </w:r>
    </w:p>
    <w:p w:rsidR="00883BE1" w:rsidRDefault="00883BE1" w:rsidP="00883BE1">
      <w:pPr>
        <w:pStyle w:val="ASQC"/>
        <w:numPr>
          <w:ilvl w:val="0"/>
          <w:numId w:val="0"/>
        </w:numPr>
        <w:ind w:left="567"/>
      </w:pPr>
    </w:p>
    <w:p w:rsidR="00883BE1" w:rsidRDefault="009E4301" w:rsidP="00883BE1">
      <w:pPr>
        <w:pStyle w:val="ListParagraph"/>
        <w:numPr>
          <w:ilvl w:val="0"/>
          <w:numId w:val="11"/>
        </w:numPr>
        <w:ind w:left="567" w:hanging="567"/>
        <w:rPr>
          <w:sz w:val="24"/>
          <w:szCs w:val="24"/>
        </w:rPr>
      </w:pPr>
      <w:r>
        <w:rPr>
          <w:sz w:val="24"/>
          <w:szCs w:val="24"/>
        </w:rPr>
        <w:t>In England, m</w:t>
      </w:r>
      <w:r w:rsidR="00883BE1" w:rsidRPr="00556AD5">
        <w:rPr>
          <w:sz w:val="24"/>
          <w:szCs w:val="24"/>
        </w:rPr>
        <w:t xml:space="preserve">ost early mediaeval markets were small and local. </w:t>
      </w:r>
      <w:r w:rsidR="00883BE1">
        <w:rPr>
          <w:sz w:val="24"/>
          <w:szCs w:val="24"/>
        </w:rPr>
        <w:t>Their sources of supply were local</w:t>
      </w:r>
      <w:r w:rsidR="00883BE1" w:rsidRPr="00556AD5">
        <w:rPr>
          <w:sz w:val="24"/>
          <w:szCs w:val="24"/>
        </w:rPr>
        <w:t xml:space="preserve"> </w:t>
      </w:r>
      <w:r w:rsidR="00883BE1">
        <w:rPr>
          <w:sz w:val="24"/>
          <w:szCs w:val="24"/>
        </w:rPr>
        <w:t xml:space="preserve">and could be </w:t>
      </w:r>
      <w:r w:rsidR="00883BE1" w:rsidRPr="00556AD5">
        <w:rPr>
          <w:sz w:val="24"/>
          <w:szCs w:val="24"/>
        </w:rPr>
        <w:t>could be easily dammed</w:t>
      </w:r>
      <w:r w:rsidR="004C438A">
        <w:rPr>
          <w:sz w:val="24"/>
          <w:szCs w:val="24"/>
        </w:rPr>
        <w:t>,</w:t>
      </w:r>
      <w:r w:rsidR="00883BE1" w:rsidRPr="00556AD5">
        <w:rPr>
          <w:sz w:val="24"/>
          <w:szCs w:val="24"/>
        </w:rPr>
        <w:t xml:space="preserve"> diverted </w:t>
      </w:r>
      <w:r w:rsidR="00570077">
        <w:rPr>
          <w:sz w:val="24"/>
          <w:szCs w:val="24"/>
        </w:rPr>
        <w:t xml:space="preserve">or controlled </w:t>
      </w:r>
      <w:r w:rsidR="00883BE1" w:rsidRPr="00556AD5">
        <w:rPr>
          <w:sz w:val="24"/>
          <w:szCs w:val="24"/>
        </w:rPr>
        <w:t>with serious consequences to consumers.</w:t>
      </w:r>
      <w:r w:rsidR="00883BE1" w:rsidRPr="00556AD5">
        <w:rPr>
          <w:rStyle w:val="FootnoteReference"/>
          <w:sz w:val="24"/>
          <w:szCs w:val="24"/>
        </w:rPr>
        <w:footnoteReference w:id="9"/>
      </w:r>
      <w:r w:rsidR="00883BE1" w:rsidRPr="00556AD5">
        <w:rPr>
          <w:sz w:val="24"/>
          <w:szCs w:val="24"/>
        </w:rPr>
        <w:t xml:space="preserve">   Those who interfered with markets in such manner were widely regarded as a threat to economic stability, and were </w:t>
      </w:r>
      <w:r w:rsidR="009D1E06">
        <w:rPr>
          <w:sz w:val="24"/>
          <w:szCs w:val="24"/>
        </w:rPr>
        <w:t xml:space="preserve">threatened with </w:t>
      </w:r>
      <w:r w:rsidR="00883BE1">
        <w:rPr>
          <w:sz w:val="24"/>
          <w:szCs w:val="24"/>
        </w:rPr>
        <w:t>pillories, fines and imprisonment and even death.</w:t>
      </w:r>
      <w:r w:rsidR="007D58B1">
        <w:rPr>
          <w:rStyle w:val="FootnoteReference"/>
          <w:sz w:val="24"/>
          <w:szCs w:val="24"/>
        </w:rPr>
        <w:footnoteReference w:id="10"/>
      </w:r>
    </w:p>
    <w:p w:rsidR="00883BE1" w:rsidRPr="004E5D7A" w:rsidRDefault="00883BE1" w:rsidP="00883BE1">
      <w:pPr>
        <w:pStyle w:val="ListParagraph"/>
        <w:rPr>
          <w:sz w:val="24"/>
          <w:szCs w:val="24"/>
        </w:rPr>
      </w:pPr>
    </w:p>
    <w:p w:rsidR="00883BE1" w:rsidRDefault="009D1E06" w:rsidP="00883BE1">
      <w:pPr>
        <w:pStyle w:val="ListParagraph"/>
        <w:numPr>
          <w:ilvl w:val="0"/>
          <w:numId w:val="11"/>
        </w:numPr>
        <w:ind w:left="567" w:hanging="567"/>
        <w:rPr>
          <w:sz w:val="24"/>
          <w:szCs w:val="24"/>
        </w:rPr>
      </w:pPr>
      <w:r>
        <w:rPr>
          <w:sz w:val="24"/>
          <w:szCs w:val="24"/>
        </w:rPr>
        <w:t xml:space="preserve">Three principal offences </w:t>
      </w:r>
      <w:r w:rsidR="00883BE1" w:rsidRPr="00556AD5">
        <w:rPr>
          <w:sz w:val="24"/>
          <w:szCs w:val="24"/>
        </w:rPr>
        <w:t>existed</w:t>
      </w:r>
      <w:r>
        <w:rPr>
          <w:sz w:val="24"/>
          <w:szCs w:val="24"/>
        </w:rPr>
        <w:t xml:space="preserve"> t</w:t>
      </w:r>
      <w:r w:rsidRPr="00556AD5">
        <w:rPr>
          <w:sz w:val="24"/>
          <w:szCs w:val="24"/>
        </w:rPr>
        <w:t xml:space="preserve">o ensure the </w:t>
      </w:r>
      <w:r>
        <w:rPr>
          <w:sz w:val="24"/>
          <w:szCs w:val="24"/>
        </w:rPr>
        <w:t xml:space="preserve">both the </w:t>
      </w:r>
      <w:r w:rsidRPr="00556AD5">
        <w:rPr>
          <w:sz w:val="24"/>
          <w:szCs w:val="24"/>
        </w:rPr>
        <w:t xml:space="preserve">free flow of goods </w:t>
      </w:r>
      <w:r>
        <w:rPr>
          <w:sz w:val="24"/>
          <w:szCs w:val="24"/>
        </w:rPr>
        <w:t xml:space="preserve">and the maintenance of fair prices </w:t>
      </w:r>
      <w:r w:rsidRPr="00556AD5">
        <w:rPr>
          <w:sz w:val="24"/>
          <w:szCs w:val="24"/>
        </w:rPr>
        <w:t xml:space="preserve">by </w:t>
      </w:r>
      <w:r w:rsidR="004C438A">
        <w:rPr>
          <w:sz w:val="24"/>
          <w:szCs w:val="24"/>
        </w:rPr>
        <w:t xml:space="preserve">discouraging </w:t>
      </w:r>
      <w:r>
        <w:rPr>
          <w:sz w:val="24"/>
          <w:szCs w:val="24"/>
        </w:rPr>
        <w:t>anti-competitive practices</w:t>
      </w:r>
      <w:r w:rsidR="00883BE1" w:rsidRPr="00556AD5">
        <w:rPr>
          <w:sz w:val="24"/>
          <w:szCs w:val="24"/>
        </w:rPr>
        <w:t>:</w:t>
      </w:r>
      <w:r w:rsidR="00883BE1" w:rsidRPr="00F05DA8">
        <w:rPr>
          <w:rStyle w:val="FootnoteReference"/>
          <w:sz w:val="24"/>
          <w:szCs w:val="24"/>
        </w:rPr>
        <w:t xml:space="preserve"> </w:t>
      </w:r>
      <w:r w:rsidR="00883BE1" w:rsidRPr="00556AD5">
        <w:rPr>
          <w:sz w:val="24"/>
          <w:szCs w:val="24"/>
        </w:rPr>
        <w:t xml:space="preserve">forestalling, </w:t>
      </w:r>
      <w:proofErr w:type="spellStart"/>
      <w:r w:rsidR="00883BE1" w:rsidRPr="00556AD5">
        <w:rPr>
          <w:sz w:val="24"/>
          <w:szCs w:val="24"/>
        </w:rPr>
        <w:t>regrating</w:t>
      </w:r>
      <w:proofErr w:type="spellEnd"/>
      <w:r w:rsidR="00883BE1" w:rsidRPr="00556AD5">
        <w:rPr>
          <w:sz w:val="24"/>
          <w:szCs w:val="24"/>
        </w:rPr>
        <w:t xml:space="preserve"> and </w:t>
      </w:r>
      <w:proofErr w:type="spellStart"/>
      <w:r w:rsidR="00883BE1" w:rsidRPr="00556AD5">
        <w:rPr>
          <w:sz w:val="24"/>
          <w:szCs w:val="24"/>
        </w:rPr>
        <w:t>ingrossing</w:t>
      </w:r>
      <w:proofErr w:type="spellEnd"/>
      <w:r w:rsidR="00883BE1" w:rsidRPr="00556AD5">
        <w:rPr>
          <w:sz w:val="24"/>
          <w:szCs w:val="24"/>
        </w:rPr>
        <w:t>:</w:t>
      </w:r>
      <w:r w:rsidR="00883BE1">
        <w:rPr>
          <w:rStyle w:val="FootnoteReference"/>
          <w:sz w:val="24"/>
          <w:szCs w:val="24"/>
        </w:rPr>
        <w:footnoteReference w:id="11"/>
      </w:r>
    </w:p>
    <w:p w:rsidR="009D1E06" w:rsidRPr="009D1E06" w:rsidRDefault="009D1E06" w:rsidP="009D1E06">
      <w:pPr>
        <w:pStyle w:val="ListParagraph"/>
        <w:rPr>
          <w:sz w:val="24"/>
          <w:szCs w:val="24"/>
        </w:rPr>
      </w:pPr>
    </w:p>
    <w:p w:rsidR="00EA012A" w:rsidRPr="00EA012A" w:rsidRDefault="009D1E06" w:rsidP="00883BE1">
      <w:pPr>
        <w:pStyle w:val="ListParagraph"/>
        <w:numPr>
          <w:ilvl w:val="0"/>
          <w:numId w:val="11"/>
        </w:numPr>
        <w:ind w:left="567" w:hanging="567"/>
        <w:rPr>
          <w:rStyle w:val="FootnoteReference"/>
          <w:b/>
          <w:sz w:val="24"/>
          <w:szCs w:val="24"/>
          <w:vertAlign w:val="baseline"/>
        </w:rPr>
      </w:pPr>
      <w:r w:rsidRPr="009D1E06">
        <w:rPr>
          <w:b/>
          <w:sz w:val="24"/>
          <w:szCs w:val="24"/>
        </w:rPr>
        <w:t>Forestalling</w:t>
      </w:r>
      <w:r>
        <w:rPr>
          <w:b/>
          <w:sz w:val="24"/>
          <w:szCs w:val="24"/>
        </w:rPr>
        <w:t xml:space="preserve"> </w:t>
      </w:r>
      <w:r w:rsidRPr="009D1E06">
        <w:rPr>
          <w:sz w:val="24"/>
          <w:szCs w:val="24"/>
        </w:rPr>
        <w:t xml:space="preserve">appears </w:t>
      </w:r>
      <w:r>
        <w:rPr>
          <w:sz w:val="24"/>
          <w:szCs w:val="24"/>
        </w:rPr>
        <w:t xml:space="preserve">originally to have meant an ambush on the highway - </w:t>
      </w:r>
      <w:proofErr w:type="spellStart"/>
      <w:r w:rsidRPr="009D1E06">
        <w:rPr>
          <w:i/>
          <w:sz w:val="24"/>
          <w:szCs w:val="24"/>
        </w:rPr>
        <w:t>forstal</w:t>
      </w:r>
      <w:proofErr w:type="spellEnd"/>
      <w:r>
        <w:rPr>
          <w:i/>
          <w:sz w:val="24"/>
          <w:szCs w:val="24"/>
        </w:rPr>
        <w:t xml:space="preserve"> </w:t>
      </w:r>
      <w:r>
        <w:rPr>
          <w:sz w:val="24"/>
          <w:szCs w:val="24"/>
        </w:rPr>
        <w:t>according to the laws of Cnut</w:t>
      </w:r>
      <w:r w:rsidR="00EA012A">
        <w:rPr>
          <w:sz w:val="24"/>
          <w:szCs w:val="24"/>
        </w:rPr>
        <w:t>.</w:t>
      </w:r>
      <w:r>
        <w:rPr>
          <w:rStyle w:val="FootnoteReference"/>
          <w:sz w:val="24"/>
          <w:szCs w:val="24"/>
        </w:rPr>
        <w:footnoteReference w:id="12"/>
      </w:r>
      <w:r>
        <w:rPr>
          <w:sz w:val="24"/>
          <w:szCs w:val="24"/>
        </w:rPr>
        <w:t xml:space="preserve"> </w:t>
      </w:r>
      <w:r w:rsidR="00EA012A">
        <w:rPr>
          <w:sz w:val="24"/>
          <w:szCs w:val="24"/>
        </w:rPr>
        <w:t xml:space="preserve"> By the fourteenth century it had expanded from the violent detention of goods intended for market</w:t>
      </w:r>
      <w:r w:rsidR="00A12DF2">
        <w:rPr>
          <w:sz w:val="24"/>
          <w:szCs w:val="24"/>
        </w:rPr>
        <w:t>,</w:t>
      </w:r>
      <w:r w:rsidR="00EA012A">
        <w:rPr>
          <w:sz w:val="24"/>
          <w:szCs w:val="24"/>
        </w:rPr>
        <w:t xml:space="preserve"> to </w:t>
      </w:r>
      <w:r w:rsidR="00A12DF2">
        <w:rPr>
          <w:sz w:val="24"/>
          <w:szCs w:val="24"/>
        </w:rPr>
        <w:t xml:space="preserve">include </w:t>
      </w:r>
      <w:r w:rsidR="007C6241">
        <w:rPr>
          <w:sz w:val="24"/>
          <w:szCs w:val="24"/>
        </w:rPr>
        <w:t>persuading</w:t>
      </w:r>
      <w:r w:rsidR="007C6241" w:rsidRPr="00556AD5">
        <w:rPr>
          <w:sz w:val="24"/>
          <w:szCs w:val="24"/>
        </w:rPr>
        <w:t xml:space="preserve"> or threaten</w:t>
      </w:r>
      <w:r w:rsidR="007C6241">
        <w:rPr>
          <w:sz w:val="24"/>
          <w:szCs w:val="24"/>
        </w:rPr>
        <w:t>ing</w:t>
      </w:r>
      <w:r w:rsidR="007C6241" w:rsidRPr="00556AD5">
        <w:rPr>
          <w:sz w:val="24"/>
          <w:szCs w:val="24"/>
        </w:rPr>
        <w:t xml:space="preserve"> </w:t>
      </w:r>
      <w:r w:rsidR="007C6241">
        <w:rPr>
          <w:sz w:val="24"/>
          <w:szCs w:val="24"/>
        </w:rPr>
        <w:lastRenderedPageBreak/>
        <w:t xml:space="preserve">or preventing </w:t>
      </w:r>
      <w:r w:rsidR="007C6241" w:rsidRPr="00556AD5">
        <w:rPr>
          <w:sz w:val="24"/>
          <w:szCs w:val="24"/>
        </w:rPr>
        <w:t xml:space="preserve">persons </w:t>
      </w:r>
      <w:r w:rsidR="007C6241">
        <w:rPr>
          <w:sz w:val="24"/>
          <w:szCs w:val="24"/>
        </w:rPr>
        <w:t>coming</w:t>
      </w:r>
      <w:r w:rsidR="007C6241" w:rsidRPr="00556AD5">
        <w:rPr>
          <w:sz w:val="24"/>
          <w:szCs w:val="24"/>
        </w:rPr>
        <w:t xml:space="preserve"> or bring</w:t>
      </w:r>
      <w:r w:rsidR="007C6241">
        <w:rPr>
          <w:sz w:val="24"/>
          <w:szCs w:val="24"/>
        </w:rPr>
        <w:t>ing</w:t>
      </w:r>
      <w:r w:rsidR="007C6241" w:rsidRPr="00556AD5">
        <w:rPr>
          <w:sz w:val="24"/>
          <w:szCs w:val="24"/>
        </w:rPr>
        <w:t xml:space="preserve"> their goods to marke</w:t>
      </w:r>
      <w:r w:rsidR="00570077">
        <w:rPr>
          <w:sz w:val="24"/>
          <w:szCs w:val="24"/>
        </w:rPr>
        <w:t xml:space="preserve">t; </w:t>
      </w:r>
      <w:r w:rsidR="00EA012A">
        <w:rPr>
          <w:sz w:val="24"/>
          <w:szCs w:val="24"/>
        </w:rPr>
        <w:t xml:space="preserve">trading before market </w:t>
      </w:r>
      <w:r w:rsidR="009E4301">
        <w:rPr>
          <w:sz w:val="24"/>
          <w:szCs w:val="24"/>
        </w:rPr>
        <w:t>opening;</w:t>
      </w:r>
      <w:r w:rsidR="00EA012A">
        <w:rPr>
          <w:rStyle w:val="FootnoteReference"/>
          <w:sz w:val="24"/>
          <w:szCs w:val="24"/>
        </w:rPr>
        <w:footnoteReference w:id="13"/>
      </w:r>
      <w:r w:rsidR="00EA012A">
        <w:rPr>
          <w:sz w:val="24"/>
          <w:szCs w:val="24"/>
        </w:rPr>
        <w:t xml:space="preserve"> </w:t>
      </w:r>
      <w:r w:rsidR="007C6241">
        <w:rPr>
          <w:sz w:val="24"/>
          <w:szCs w:val="24"/>
        </w:rPr>
        <w:t xml:space="preserve">or </w:t>
      </w:r>
      <w:r w:rsidR="009E4301">
        <w:rPr>
          <w:sz w:val="24"/>
          <w:szCs w:val="24"/>
        </w:rPr>
        <w:t xml:space="preserve">to </w:t>
      </w:r>
      <w:r w:rsidR="00EA012A">
        <w:rPr>
          <w:sz w:val="24"/>
          <w:szCs w:val="24"/>
        </w:rPr>
        <w:t xml:space="preserve">any attempt </w:t>
      </w:r>
      <w:r w:rsidR="00EA012A" w:rsidRPr="00556AD5">
        <w:rPr>
          <w:sz w:val="24"/>
          <w:szCs w:val="24"/>
        </w:rPr>
        <w:t>by any means to enhance the price of goods</w:t>
      </w:r>
      <w:r w:rsidR="00EA012A">
        <w:rPr>
          <w:sz w:val="24"/>
          <w:szCs w:val="24"/>
        </w:rPr>
        <w:t>.</w:t>
      </w:r>
      <w:r w:rsidR="00EA012A" w:rsidRPr="00EA012A">
        <w:rPr>
          <w:rStyle w:val="FootnoteReference"/>
          <w:b/>
          <w:sz w:val="24"/>
          <w:szCs w:val="24"/>
        </w:rPr>
        <w:t xml:space="preserve"> </w:t>
      </w:r>
    </w:p>
    <w:p w:rsidR="00EA012A" w:rsidRPr="00EA012A" w:rsidRDefault="00EA012A" w:rsidP="00EA012A">
      <w:pPr>
        <w:pStyle w:val="ListParagraph"/>
        <w:rPr>
          <w:rStyle w:val="FootnoteReference"/>
          <w:b/>
          <w:sz w:val="24"/>
          <w:szCs w:val="24"/>
          <w:vertAlign w:val="baseline"/>
        </w:rPr>
      </w:pPr>
    </w:p>
    <w:p w:rsidR="00EA012A" w:rsidRDefault="00EA012A" w:rsidP="00EA012A">
      <w:pPr>
        <w:pStyle w:val="ASQC"/>
      </w:pPr>
      <w:proofErr w:type="spellStart"/>
      <w:r w:rsidRPr="00556AD5">
        <w:rPr>
          <w:b/>
        </w:rPr>
        <w:t>Regrating</w:t>
      </w:r>
      <w:proofErr w:type="spellEnd"/>
      <w:r w:rsidRPr="00556AD5">
        <w:rPr>
          <w:rStyle w:val="FootnoteReference"/>
          <w:b/>
        </w:rPr>
        <w:footnoteReference w:id="14"/>
      </w:r>
      <w:r>
        <w:t xml:space="preserve"> was </w:t>
      </w:r>
      <w:r w:rsidRPr="00556AD5">
        <w:t>buying provisions in a market and reselling them for a profit in the same market or any o</w:t>
      </w:r>
      <w:r>
        <w:t>ther market within four miles.</w:t>
      </w:r>
    </w:p>
    <w:p w:rsidR="00EA012A" w:rsidRPr="00A12DF2" w:rsidRDefault="00EA012A" w:rsidP="00883BE1">
      <w:pPr>
        <w:pStyle w:val="ListParagraph"/>
        <w:numPr>
          <w:ilvl w:val="0"/>
          <w:numId w:val="11"/>
        </w:numPr>
        <w:ind w:left="567" w:hanging="567"/>
        <w:rPr>
          <w:b/>
          <w:sz w:val="24"/>
          <w:szCs w:val="24"/>
        </w:rPr>
      </w:pPr>
      <w:proofErr w:type="spellStart"/>
      <w:r w:rsidRPr="00556AD5">
        <w:rPr>
          <w:b/>
          <w:sz w:val="24"/>
          <w:szCs w:val="24"/>
        </w:rPr>
        <w:t>Ingrossing</w:t>
      </w:r>
      <w:proofErr w:type="spellEnd"/>
      <w:r w:rsidRPr="00556AD5">
        <w:rPr>
          <w:rStyle w:val="FootnoteReference"/>
          <w:b/>
          <w:sz w:val="24"/>
          <w:szCs w:val="24"/>
        </w:rPr>
        <w:footnoteReference w:id="15"/>
      </w:r>
      <w:r>
        <w:rPr>
          <w:b/>
          <w:sz w:val="24"/>
          <w:szCs w:val="24"/>
        </w:rPr>
        <w:t xml:space="preserve"> </w:t>
      </w:r>
      <w:r w:rsidRPr="00EA012A">
        <w:rPr>
          <w:sz w:val="24"/>
          <w:szCs w:val="24"/>
        </w:rPr>
        <w:t>was the</w:t>
      </w:r>
      <w:r>
        <w:rPr>
          <w:b/>
          <w:sz w:val="24"/>
          <w:szCs w:val="24"/>
        </w:rPr>
        <w:t xml:space="preserve"> </w:t>
      </w:r>
      <w:r w:rsidRPr="00556AD5">
        <w:rPr>
          <w:sz w:val="24"/>
          <w:szCs w:val="24"/>
        </w:rPr>
        <w:t xml:space="preserve">buying </w:t>
      </w:r>
      <w:r>
        <w:rPr>
          <w:sz w:val="24"/>
          <w:szCs w:val="24"/>
        </w:rPr>
        <w:t xml:space="preserve">of </w:t>
      </w:r>
      <w:r w:rsidRPr="00556AD5">
        <w:rPr>
          <w:sz w:val="24"/>
          <w:szCs w:val="24"/>
        </w:rPr>
        <w:t>growing</w:t>
      </w:r>
      <w:r w:rsidRPr="00556AD5">
        <w:rPr>
          <w:b/>
          <w:sz w:val="24"/>
          <w:szCs w:val="24"/>
        </w:rPr>
        <w:t xml:space="preserve"> </w:t>
      </w:r>
      <w:r w:rsidRPr="00556AD5">
        <w:rPr>
          <w:sz w:val="24"/>
          <w:szCs w:val="24"/>
        </w:rPr>
        <w:t>corn</w:t>
      </w:r>
      <w:r w:rsidRPr="00556AD5">
        <w:rPr>
          <w:b/>
          <w:sz w:val="24"/>
          <w:szCs w:val="24"/>
        </w:rPr>
        <w:t xml:space="preserve"> </w:t>
      </w:r>
      <w:r w:rsidRPr="00556AD5">
        <w:rPr>
          <w:sz w:val="24"/>
          <w:szCs w:val="24"/>
        </w:rPr>
        <w:t xml:space="preserve">or any other victual in order to sell them again </w:t>
      </w:r>
      <w:r w:rsidR="00570077">
        <w:rPr>
          <w:sz w:val="24"/>
          <w:szCs w:val="24"/>
        </w:rPr>
        <w:t>(</w:t>
      </w:r>
      <w:r w:rsidRPr="00556AD5">
        <w:rPr>
          <w:sz w:val="24"/>
          <w:szCs w:val="24"/>
        </w:rPr>
        <w:t xml:space="preserve">as opposed </w:t>
      </w:r>
      <w:r w:rsidR="00570077">
        <w:rPr>
          <w:sz w:val="24"/>
          <w:szCs w:val="24"/>
        </w:rPr>
        <w:t>to purchasing</w:t>
      </w:r>
      <w:r w:rsidR="007C6241">
        <w:rPr>
          <w:sz w:val="24"/>
          <w:szCs w:val="24"/>
        </w:rPr>
        <w:t xml:space="preserve"> </w:t>
      </w:r>
      <w:r w:rsidRPr="00556AD5">
        <w:rPr>
          <w:sz w:val="24"/>
          <w:szCs w:val="24"/>
        </w:rPr>
        <w:t>for one’s own use</w:t>
      </w:r>
      <w:r w:rsidR="00570077">
        <w:rPr>
          <w:sz w:val="24"/>
          <w:szCs w:val="24"/>
        </w:rPr>
        <w:t xml:space="preserve">) </w:t>
      </w:r>
      <w:r>
        <w:rPr>
          <w:sz w:val="24"/>
          <w:szCs w:val="24"/>
        </w:rPr>
        <w:t xml:space="preserve">– literally buying in gross (wholesale) and selling in gross. </w:t>
      </w:r>
      <w:r w:rsidR="00570077">
        <w:rPr>
          <w:sz w:val="24"/>
          <w:szCs w:val="24"/>
        </w:rPr>
        <w:t xml:space="preserve"> (</w:t>
      </w:r>
      <w:r>
        <w:rPr>
          <w:sz w:val="24"/>
          <w:szCs w:val="24"/>
        </w:rPr>
        <w:t xml:space="preserve">The object was to prevent speculation and monopolies, and </w:t>
      </w:r>
      <w:r w:rsidR="00570077">
        <w:rPr>
          <w:sz w:val="24"/>
          <w:szCs w:val="24"/>
        </w:rPr>
        <w:t xml:space="preserve">incidentally </w:t>
      </w:r>
      <w:r>
        <w:rPr>
          <w:sz w:val="24"/>
          <w:szCs w:val="24"/>
        </w:rPr>
        <w:t xml:space="preserve">delayed the creation of </w:t>
      </w:r>
      <w:r w:rsidRPr="00556AD5">
        <w:rPr>
          <w:sz w:val="24"/>
          <w:szCs w:val="24"/>
        </w:rPr>
        <w:t>trading in pork belly futures).</w:t>
      </w:r>
    </w:p>
    <w:p w:rsidR="00A12DF2" w:rsidRPr="00A12DF2" w:rsidRDefault="00A12DF2" w:rsidP="00A12DF2">
      <w:pPr>
        <w:pStyle w:val="ListParagraph"/>
        <w:ind w:left="567"/>
        <w:rPr>
          <w:b/>
          <w:sz w:val="24"/>
          <w:szCs w:val="24"/>
        </w:rPr>
      </w:pPr>
    </w:p>
    <w:p w:rsidR="00570077" w:rsidRDefault="00A12DF2" w:rsidP="00570077">
      <w:pPr>
        <w:pStyle w:val="ListParagraph"/>
        <w:numPr>
          <w:ilvl w:val="0"/>
          <w:numId w:val="11"/>
        </w:numPr>
        <w:spacing w:line="240" w:lineRule="auto"/>
        <w:ind w:left="567" w:hanging="567"/>
        <w:rPr>
          <w:sz w:val="24"/>
          <w:szCs w:val="24"/>
        </w:rPr>
      </w:pPr>
      <w:r>
        <w:rPr>
          <w:sz w:val="24"/>
          <w:szCs w:val="24"/>
        </w:rPr>
        <w:t>The offences we</w:t>
      </w:r>
      <w:r w:rsidRPr="00556AD5">
        <w:rPr>
          <w:sz w:val="24"/>
          <w:szCs w:val="24"/>
        </w:rPr>
        <w:t>re undoubtedly old. Illingworth</w:t>
      </w:r>
      <w:r w:rsidRPr="00556AD5">
        <w:rPr>
          <w:rStyle w:val="FootnoteReference"/>
          <w:sz w:val="24"/>
          <w:szCs w:val="24"/>
        </w:rPr>
        <w:footnoteReference w:id="16"/>
      </w:r>
      <w:r w:rsidRPr="00556AD5">
        <w:rPr>
          <w:sz w:val="24"/>
          <w:szCs w:val="24"/>
        </w:rPr>
        <w:t xml:space="preserve"> traces forestalling to Saxon England</w:t>
      </w:r>
      <w:r>
        <w:rPr>
          <w:sz w:val="24"/>
          <w:szCs w:val="24"/>
        </w:rPr>
        <w:t xml:space="preserve"> and the reign of Athelstan</w:t>
      </w:r>
      <w:r w:rsidRPr="00556AD5">
        <w:rPr>
          <w:sz w:val="24"/>
          <w:szCs w:val="24"/>
        </w:rPr>
        <w:t xml:space="preserve"> and finds</w:t>
      </w:r>
      <w:r>
        <w:rPr>
          <w:sz w:val="24"/>
          <w:szCs w:val="24"/>
        </w:rPr>
        <w:t xml:space="preserve"> it</w:t>
      </w:r>
      <w:r w:rsidRPr="00556AD5">
        <w:rPr>
          <w:sz w:val="24"/>
          <w:szCs w:val="24"/>
        </w:rPr>
        <w:t xml:space="preserve"> mention</w:t>
      </w:r>
      <w:r>
        <w:rPr>
          <w:sz w:val="24"/>
          <w:szCs w:val="24"/>
        </w:rPr>
        <w:t>ed</w:t>
      </w:r>
      <w:r w:rsidRPr="00556AD5">
        <w:rPr>
          <w:sz w:val="24"/>
          <w:szCs w:val="24"/>
        </w:rPr>
        <w:t xml:space="preserve"> in the Domesday Book. </w:t>
      </w:r>
      <w:r>
        <w:rPr>
          <w:sz w:val="24"/>
          <w:szCs w:val="24"/>
        </w:rPr>
        <w:t xml:space="preserve"> Both he and Blackstone find parallels in Roman law.</w:t>
      </w:r>
      <w:r>
        <w:rPr>
          <w:rStyle w:val="FootnoteReference"/>
          <w:sz w:val="24"/>
          <w:szCs w:val="24"/>
        </w:rPr>
        <w:footnoteReference w:id="17"/>
      </w:r>
      <w:r>
        <w:rPr>
          <w:sz w:val="24"/>
          <w:szCs w:val="24"/>
        </w:rPr>
        <w:t xml:space="preserve">  </w:t>
      </w:r>
      <w:r w:rsidRPr="00556AD5">
        <w:rPr>
          <w:sz w:val="24"/>
          <w:szCs w:val="24"/>
        </w:rPr>
        <w:t xml:space="preserve"> </w:t>
      </w:r>
      <w:r w:rsidR="004C438A">
        <w:rPr>
          <w:sz w:val="24"/>
          <w:szCs w:val="24"/>
        </w:rPr>
        <w:t>T</w:t>
      </w:r>
      <w:r w:rsidR="00570077">
        <w:rPr>
          <w:sz w:val="24"/>
          <w:szCs w:val="24"/>
        </w:rPr>
        <w:t>he offences</w:t>
      </w:r>
      <w:r>
        <w:rPr>
          <w:sz w:val="24"/>
          <w:szCs w:val="24"/>
        </w:rPr>
        <w:t xml:space="preserve"> </w:t>
      </w:r>
      <w:r w:rsidR="004C438A">
        <w:rPr>
          <w:sz w:val="24"/>
          <w:szCs w:val="24"/>
        </w:rPr>
        <w:t xml:space="preserve">also </w:t>
      </w:r>
      <w:r>
        <w:rPr>
          <w:sz w:val="24"/>
          <w:szCs w:val="24"/>
        </w:rPr>
        <w:t>appear to have been commonplace</w:t>
      </w:r>
      <w:r w:rsidR="004C438A">
        <w:rPr>
          <w:rStyle w:val="FootnoteReference"/>
          <w:sz w:val="24"/>
          <w:szCs w:val="24"/>
        </w:rPr>
        <w:footnoteReference w:id="18"/>
      </w:r>
      <w:r>
        <w:rPr>
          <w:sz w:val="24"/>
          <w:szCs w:val="24"/>
        </w:rPr>
        <w:t xml:space="preserve">, and </w:t>
      </w:r>
      <w:r w:rsidRPr="00556AD5">
        <w:rPr>
          <w:sz w:val="24"/>
          <w:szCs w:val="24"/>
        </w:rPr>
        <w:t>were regularly denigrated by Parliament</w:t>
      </w:r>
      <w:r>
        <w:rPr>
          <w:sz w:val="24"/>
          <w:szCs w:val="24"/>
        </w:rPr>
        <w:t>.</w:t>
      </w:r>
      <w:r w:rsidR="007C6241">
        <w:rPr>
          <w:sz w:val="24"/>
          <w:szCs w:val="24"/>
        </w:rPr>
        <w:t xml:space="preserve"> </w:t>
      </w:r>
      <w:r w:rsidR="00570077">
        <w:rPr>
          <w:sz w:val="24"/>
          <w:szCs w:val="24"/>
        </w:rPr>
        <w:t xml:space="preserve"> </w:t>
      </w:r>
      <w:r w:rsidR="00570077" w:rsidRPr="009D1BC9">
        <w:rPr>
          <w:sz w:val="24"/>
          <w:szCs w:val="24"/>
        </w:rPr>
        <w:t xml:space="preserve">Forestallers were the speculators and market-riggers of their day and as food riots in times of scarcity were not uncommon </w:t>
      </w:r>
      <w:r w:rsidR="00570077">
        <w:rPr>
          <w:sz w:val="24"/>
          <w:szCs w:val="24"/>
        </w:rPr>
        <w:t>t</w:t>
      </w:r>
      <w:r w:rsidR="00570077" w:rsidRPr="009D1BC9">
        <w:rPr>
          <w:sz w:val="24"/>
          <w:szCs w:val="24"/>
        </w:rPr>
        <w:t>hey provided useful scapegoats</w:t>
      </w:r>
      <w:r w:rsidR="00570077">
        <w:rPr>
          <w:sz w:val="24"/>
          <w:szCs w:val="24"/>
        </w:rPr>
        <w:t xml:space="preserve">. </w:t>
      </w:r>
      <w:r w:rsidR="00570077" w:rsidRPr="009D1BC9">
        <w:rPr>
          <w:sz w:val="24"/>
          <w:szCs w:val="24"/>
        </w:rPr>
        <w:t xml:space="preserve"> </w:t>
      </w:r>
      <w:r w:rsidR="00570077">
        <w:rPr>
          <w:sz w:val="24"/>
          <w:szCs w:val="24"/>
        </w:rPr>
        <w:t xml:space="preserve">The </w:t>
      </w:r>
      <w:r w:rsidR="00570077" w:rsidRPr="009D1BC9">
        <w:rPr>
          <w:sz w:val="24"/>
          <w:szCs w:val="24"/>
        </w:rPr>
        <w:t>opprobrium</w:t>
      </w:r>
      <w:r w:rsidR="00570077">
        <w:rPr>
          <w:sz w:val="24"/>
          <w:szCs w:val="24"/>
        </w:rPr>
        <w:t xml:space="preserve"> they attracted was sometimes extreme</w:t>
      </w:r>
      <w:r w:rsidR="00570077" w:rsidRPr="009D1BC9">
        <w:rPr>
          <w:sz w:val="24"/>
          <w:szCs w:val="24"/>
        </w:rPr>
        <w:t xml:space="preserve">. </w:t>
      </w:r>
      <w:r w:rsidR="00570077">
        <w:rPr>
          <w:sz w:val="24"/>
          <w:szCs w:val="24"/>
        </w:rPr>
        <w:t xml:space="preserve"> </w:t>
      </w:r>
      <w:proofErr w:type="spellStart"/>
      <w:r w:rsidR="00570077">
        <w:rPr>
          <w:sz w:val="24"/>
          <w:szCs w:val="24"/>
        </w:rPr>
        <w:t>Pulton</w:t>
      </w:r>
      <w:proofErr w:type="spellEnd"/>
      <w:r w:rsidR="00570077">
        <w:rPr>
          <w:rStyle w:val="FootnoteReference"/>
          <w:sz w:val="24"/>
          <w:szCs w:val="24"/>
        </w:rPr>
        <w:footnoteReference w:id="19"/>
      </w:r>
      <w:r w:rsidR="00570077">
        <w:rPr>
          <w:sz w:val="24"/>
          <w:szCs w:val="24"/>
        </w:rPr>
        <w:t xml:space="preserve"> in </w:t>
      </w:r>
      <w:r w:rsidR="00570077" w:rsidRPr="00551A03">
        <w:rPr>
          <w:i/>
          <w:sz w:val="24"/>
          <w:szCs w:val="24"/>
        </w:rPr>
        <w:t>De Pace Regis</w:t>
      </w:r>
      <w:r w:rsidR="00570077" w:rsidRPr="009D1BC9">
        <w:rPr>
          <w:sz w:val="24"/>
          <w:szCs w:val="24"/>
        </w:rPr>
        <w:t xml:space="preserve"> </w:t>
      </w:r>
      <w:r w:rsidR="00570077">
        <w:rPr>
          <w:sz w:val="24"/>
          <w:szCs w:val="24"/>
        </w:rPr>
        <w:t>observed that:</w:t>
      </w:r>
    </w:p>
    <w:p w:rsidR="00570077" w:rsidRPr="00551A03" w:rsidRDefault="00570077" w:rsidP="00570077">
      <w:pPr>
        <w:pStyle w:val="ListParagraph"/>
        <w:rPr>
          <w:sz w:val="24"/>
          <w:szCs w:val="24"/>
        </w:rPr>
      </w:pPr>
    </w:p>
    <w:p w:rsidR="00570077" w:rsidRPr="00551A03" w:rsidRDefault="00570077" w:rsidP="00570077">
      <w:pPr>
        <w:pStyle w:val="ListParagraph"/>
        <w:spacing w:line="240" w:lineRule="auto"/>
        <w:ind w:left="993"/>
      </w:pPr>
      <w:r w:rsidRPr="00551A03">
        <w:rPr>
          <w:i/>
        </w:rPr>
        <w:t>“</w:t>
      </w:r>
      <w:proofErr w:type="gramStart"/>
      <w:r w:rsidRPr="00551A03">
        <w:rPr>
          <w:i/>
        </w:rPr>
        <w:t>forestallers</w:t>
      </w:r>
      <w:proofErr w:type="gramEnd"/>
      <w:r w:rsidRPr="00551A03">
        <w:rPr>
          <w:i/>
        </w:rPr>
        <w:t xml:space="preserve">, </w:t>
      </w:r>
      <w:proofErr w:type="spellStart"/>
      <w:r w:rsidRPr="00551A03">
        <w:rPr>
          <w:i/>
        </w:rPr>
        <w:t>ingrossers</w:t>
      </w:r>
      <w:proofErr w:type="spellEnd"/>
      <w:r w:rsidRPr="00551A03">
        <w:rPr>
          <w:i/>
        </w:rPr>
        <w:t xml:space="preserve"> and </w:t>
      </w:r>
      <w:proofErr w:type="spellStart"/>
      <w:r w:rsidRPr="00551A03">
        <w:rPr>
          <w:i/>
        </w:rPr>
        <w:t>regraters</w:t>
      </w:r>
      <w:proofErr w:type="spellEnd"/>
      <w:r w:rsidRPr="00551A03">
        <w:rPr>
          <w:i/>
        </w:rPr>
        <w:t xml:space="preserve">, deserve to be reckoned amongst the number of oppressors of the common good and public weal of the realm, for they do endeavour to enrich themselves by the impoverishment of others, and respect not how many do lose, so they may gain. They have been exclaimed upon and condemned in parliament from one generation to another, as </w:t>
      </w:r>
      <w:proofErr w:type="spellStart"/>
      <w:r w:rsidRPr="00551A03">
        <w:rPr>
          <w:i/>
        </w:rPr>
        <w:t>appeareth</w:t>
      </w:r>
      <w:proofErr w:type="spellEnd"/>
      <w:r w:rsidRPr="00551A03">
        <w:rPr>
          <w:i/>
        </w:rPr>
        <w:t xml:space="preserve"> by the statute, but among others especially by the statute 34 </w:t>
      </w:r>
      <w:proofErr w:type="spellStart"/>
      <w:r w:rsidRPr="00551A03">
        <w:rPr>
          <w:i/>
        </w:rPr>
        <w:t>Edw</w:t>
      </w:r>
      <w:proofErr w:type="spellEnd"/>
      <w:r w:rsidRPr="00551A03">
        <w:rPr>
          <w:i/>
        </w:rPr>
        <w:t xml:space="preserve"> 1 it was ordained that no forestaller should be suffered to dwell in any town, for he is a manifest oppressor of the poor and a </w:t>
      </w:r>
      <w:proofErr w:type="spellStart"/>
      <w:r w:rsidRPr="00551A03">
        <w:rPr>
          <w:i/>
        </w:rPr>
        <w:t>decayer</w:t>
      </w:r>
      <w:proofErr w:type="spellEnd"/>
      <w:r w:rsidRPr="00551A03">
        <w:rPr>
          <w:i/>
        </w:rPr>
        <w:t xml:space="preserve"> of the rich, a public enemy of the country, a canker, a moth, and a gnawing worm, that daily </w:t>
      </w:r>
      <w:proofErr w:type="spellStart"/>
      <w:r w:rsidRPr="00551A03">
        <w:rPr>
          <w:i/>
        </w:rPr>
        <w:t>wasteth</w:t>
      </w:r>
      <w:proofErr w:type="spellEnd"/>
      <w:r w:rsidRPr="00551A03">
        <w:rPr>
          <w:i/>
        </w:rPr>
        <w:t xml:space="preserve"> the commonwealth and the act and name of a forestaller was so odious in that time, that it was moved in parliament to have it established by law, that a forestaller should be baited out of the town where he dwelt by dogs, and whipped forth with whips</w:t>
      </w:r>
      <w:r w:rsidRPr="00551A03">
        <w:t xml:space="preserve">.”  </w:t>
      </w:r>
    </w:p>
    <w:p w:rsidR="00570077" w:rsidRDefault="00570077" w:rsidP="00570077">
      <w:pPr>
        <w:pStyle w:val="ListParagraph"/>
        <w:ind w:left="567"/>
        <w:rPr>
          <w:sz w:val="24"/>
          <w:szCs w:val="24"/>
        </w:rPr>
      </w:pPr>
    </w:p>
    <w:p w:rsidR="00570077" w:rsidRDefault="00570077" w:rsidP="00570077">
      <w:pPr>
        <w:pStyle w:val="ListParagraph"/>
      </w:pPr>
    </w:p>
    <w:p w:rsidR="00A12DF2" w:rsidRPr="004E5D7A" w:rsidRDefault="007C6241" w:rsidP="0046629F">
      <w:pPr>
        <w:pStyle w:val="ListParagraph"/>
        <w:numPr>
          <w:ilvl w:val="0"/>
          <w:numId w:val="11"/>
        </w:numPr>
        <w:ind w:left="567" w:hanging="567"/>
        <w:rPr>
          <w:sz w:val="24"/>
          <w:szCs w:val="24"/>
        </w:rPr>
      </w:pPr>
      <w:r>
        <w:t xml:space="preserve">The </w:t>
      </w:r>
      <w:proofErr w:type="gramStart"/>
      <w:r>
        <w:t>Middle</w:t>
      </w:r>
      <w:proofErr w:type="gramEnd"/>
      <w:r>
        <w:t xml:space="preserve"> Ages </w:t>
      </w:r>
      <w:r w:rsidRPr="004E5D7A">
        <w:rPr>
          <w:sz w:val="24"/>
          <w:szCs w:val="24"/>
        </w:rPr>
        <w:t xml:space="preserve">was a period of intense </w:t>
      </w:r>
      <w:r>
        <w:rPr>
          <w:sz w:val="24"/>
          <w:szCs w:val="24"/>
        </w:rPr>
        <w:t xml:space="preserve">market </w:t>
      </w:r>
      <w:r w:rsidRPr="004E5D7A">
        <w:rPr>
          <w:sz w:val="24"/>
          <w:szCs w:val="24"/>
        </w:rPr>
        <w:t>regulation.</w:t>
      </w:r>
      <w:r w:rsidR="00A12DF2">
        <w:rPr>
          <w:sz w:val="24"/>
          <w:szCs w:val="24"/>
        </w:rPr>
        <w:t xml:space="preserve"> N</w:t>
      </w:r>
      <w:r w:rsidR="00A12DF2" w:rsidRPr="00556AD5">
        <w:rPr>
          <w:sz w:val="24"/>
          <w:szCs w:val="24"/>
        </w:rPr>
        <w:t>umerous statutes</w:t>
      </w:r>
      <w:r w:rsidR="00A12DF2">
        <w:rPr>
          <w:sz w:val="24"/>
          <w:szCs w:val="24"/>
        </w:rPr>
        <w:t xml:space="preserve"> were passed criminalising combinations or agreements to fix or raise prices (or wages) of victuals and merchandise.</w:t>
      </w:r>
      <w:r w:rsidR="00A12DF2">
        <w:rPr>
          <w:rStyle w:val="FootnoteReference"/>
          <w:sz w:val="24"/>
          <w:szCs w:val="24"/>
        </w:rPr>
        <w:footnoteReference w:id="20"/>
      </w:r>
      <w:r w:rsidR="00A12DF2">
        <w:rPr>
          <w:sz w:val="24"/>
          <w:szCs w:val="24"/>
        </w:rPr>
        <w:t xml:space="preserve">  </w:t>
      </w:r>
      <w:r w:rsidR="00A12DF2">
        <w:t>The</w:t>
      </w:r>
      <w:r w:rsidR="00A12DF2" w:rsidRPr="004E5D7A">
        <w:rPr>
          <w:sz w:val="24"/>
        </w:rPr>
        <w:t xml:space="preserve"> statute books are replete with examples of attempts to control the activities and regulate prices of fishmongers, wool and wheat merchants, </w:t>
      </w:r>
      <w:proofErr w:type="spellStart"/>
      <w:r w:rsidR="00A12DF2" w:rsidRPr="004E5D7A">
        <w:rPr>
          <w:sz w:val="24"/>
        </w:rPr>
        <w:t>cordwainers</w:t>
      </w:r>
      <w:proofErr w:type="spellEnd"/>
      <w:r w:rsidR="00A12DF2" w:rsidRPr="004E5D7A">
        <w:rPr>
          <w:sz w:val="24"/>
        </w:rPr>
        <w:t>, dyers and the like.  Winfield observed:</w:t>
      </w:r>
      <w:r w:rsidR="00A12DF2" w:rsidRPr="00556AD5">
        <w:rPr>
          <w:rStyle w:val="FootnoteReference"/>
          <w:sz w:val="24"/>
          <w:szCs w:val="24"/>
        </w:rPr>
        <w:footnoteReference w:id="21"/>
      </w:r>
    </w:p>
    <w:p w:rsidR="00A12DF2" w:rsidRPr="00556AD5" w:rsidRDefault="00A12DF2" w:rsidP="00A12DF2">
      <w:pPr>
        <w:pStyle w:val="ListParagraph"/>
        <w:ind w:left="851"/>
      </w:pPr>
    </w:p>
    <w:p w:rsidR="00A12DF2" w:rsidRPr="00556AD5" w:rsidRDefault="00A12DF2" w:rsidP="00A12DF2">
      <w:pPr>
        <w:pStyle w:val="ListParagraph"/>
        <w:ind w:left="851"/>
        <w:rPr>
          <w:sz w:val="24"/>
          <w:szCs w:val="24"/>
        </w:rPr>
      </w:pPr>
      <w:r w:rsidRPr="00556AD5">
        <w:rPr>
          <w:szCs w:val="24"/>
        </w:rPr>
        <w:t>"</w:t>
      </w:r>
      <w:r>
        <w:rPr>
          <w:i/>
          <w:iCs/>
          <w:szCs w:val="24"/>
        </w:rPr>
        <w:t xml:space="preserve">. . . </w:t>
      </w:r>
      <w:r w:rsidRPr="00556AD5">
        <w:rPr>
          <w:i/>
          <w:iCs/>
          <w:szCs w:val="24"/>
        </w:rPr>
        <w:t xml:space="preserve"> </w:t>
      </w:r>
      <w:proofErr w:type="gramStart"/>
      <w:r w:rsidRPr="00556AD5">
        <w:rPr>
          <w:i/>
          <w:iCs/>
          <w:szCs w:val="24"/>
        </w:rPr>
        <w:t>the</w:t>
      </w:r>
      <w:proofErr w:type="gramEnd"/>
      <w:r w:rsidRPr="00556AD5">
        <w:rPr>
          <w:i/>
          <w:iCs/>
          <w:szCs w:val="24"/>
        </w:rPr>
        <w:t xml:space="preserve"> prevailing idea was that trade combinations when they interfered with prices were an economic evil to be stamped out by the state, and a Parliament which was parental enough to fix the price of a young capon at three pence, and an old one at four pence was not likely to shirk this duty.  That its attempts to regulate trade were not always satisfactory in result was only to be expected. .  .  But 2 and 3 Ed. VI c. 15 surpasses any previous enactment in scope and graduated severity, for it punishes in effect all purveyors of food who conspire to sell their goods only at fixed prices, and all artificers and labourers who conspire not to work, except at a fixed wage or for a fixed time</w:t>
      </w:r>
      <w:r w:rsidRPr="00556AD5">
        <w:rPr>
          <w:szCs w:val="24"/>
        </w:rPr>
        <w:t>."</w:t>
      </w:r>
    </w:p>
    <w:p w:rsidR="00A12DF2" w:rsidRPr="00556AD5" w:rsidRDefault="00A12DF2" w:rsidP="00A12DF2">
      <w:pPr>
        <w:pStyle w:val="ListParagraph"/>
        <w:rPr>
          <w:i/>
          <w:sz w:val="24"/>
          <w:szCs w:val="24"/>
        </w:rPr>
      </w:pPr>
    </w:p>
    <w:p w:rsidR="00EA012A" w:rsidRPr="00A12DF2" w:rsidRDefault="00A12DF2" w:rsidP="00A12DF2">
      <w:pPr>
        <w:pStyle w:val="ASQC"/>
        <w:rPr>
          <w:b/>
        </w:rPr>
      </w:pPr>
      <w:proofErr w:type="spellStart"/>
      <w:r w:rsidRPr="00556AD5">
        <w:t>Holdsworth</w:t>
      </w:r>
      <w:proofErr w:type="spellEnd"/>
      <w:r w:rsidRPr="00556AD5">
        <w:t xml:space="preserve"> asserts that, from the middle of the fourteenth century, there is authority for the principle that all persons ought to be allowed to carry on their trades freely, subject only to any restrictions or regulations which might be imposed by common law or statute.</w:t>
      </w:r>
      <w:r w:rsidRPr="00556AD5">
        <w:rPr>
          <w:rStyle w:val="FootnoteReference"/>
        </w:rPr>
        <w:footnoteReference w:id="22"/>
      </w:r>
      <w:r w:rsidRPr="00556AD5">
        <w:t xml:space="preserve">  But that principle (if it existed) was obscured by the sheer number of mediaeval statutes which sought to legislate "</w:t>
      </w:r>
      <w:r w:rsidRPr="00556AD5">
        <w:rPr>
          <w:i/>
          <w:iCs/>
        </w:rPr>
        <w:t>honest manufacture, a just price, a fair wage, a reasonable profit.</w:t>
      </w:r>
      <w:r w:rsidRPr="00556AD5">
        <w:t>"  By the eighteenth century "</w:t>
      </w:r>
      <w:r w:rsidRPr="00556AD5">
        <w:rPr>
          <w:i/>
          <w:iCs/>
        </w:rPr>
        <w:t>it was inevitable that the courts should hold that combinations of masters which were entered into to force down wages or force up prices, or combinations of men which were entered into in order to force up wages or diminish the length of the working day, were indictable conspiracies</w:t>
      </w:r>
      <w:r w:rsidRPr="00556AD5">
        <w:t>."</w:t>
      </w:r>
      <w:r w:rsidRPr="00556AD5">
        <w:rPr>
          <w:rStyle w:val="FootnoteReference"/>
        </w:rPr>
        <w:footnoteReference w:id="23"/>
      </w:r>
      <w:r w:rsidR="00640D60">
        <w:t xml:space="preserve">  Prosecutions for the offences continued well into the eighteenth century.</w:t>
      </w:r>
      <w:r w:rsidR="00640D60">
        <w:rPr>
          <w:rStyle w:val="FootnoteReference"/>
        </w:rPr>
        <w:footnoteReference w:id="24"/>
      </w:r>
    </w:p>
    <w:p w:rsidR="00A12DF2" w:rsidRPr="00EA012A" w:rsidRDefault="00A12DF2" w:rsidP="00A12DF2">
      <w:pPr>
        <w:pStyle w:val="ASQC"/>
        <w:numPr>
          <w:ilvl w:val="0"/>
          <w:numId w:val="0"/>
        </w:numPr>
        <w:ind w:left="567"/>
        <w:rPr>
          <w:b/>
        </w:rPr>
      </w:pPr>
    </w:p>
    <w:p w:rsidR="00EA012A" w:rsidRDefault="00A12DF2" w:rsidP="00A12DF2">
      <w:pPr>
        <w:pStyle w:val="ASQC"/>
      </w:pPr>
      <w:r>
        <w:t xml:space="preserve">This plethora of legislation intervention makes it difficult precisely </w:t>
      </w:r>
      <w:r w:rsidR="007C6241">
        <w:t>to untangle the</w:t>
      </w:r>
      <w:r>
        <w:t xml:space="preserve"> common law origins of the offence</w:t>
      </w:r>
      <w:r w:rsidR="007C6241">
        <w:t xml:space="preserve">. </w:t>
      </w:r>
      <w:r w:rsidR="00570077">
        <w:t xml:space="preserve">The difficulty </w:t>
      </w:r>
      <w:r w:rsidR="00640D60">
        <w:t xml:space="preserve">is </w:t>
      </w:r>
      <w:r w:rsidR="00033D04">
        <w:t xml:space="preserve">further </w:t>
      </w:r>
      <w:r w:rsidR="00640D60">
        <w:t>a</w:t>
      </w:r>
      <w:r w:rsidR="00033D04">
        <w:t xml:space="preserve">ggravated </w:t>
      </w:r>
      <w:r w:rsidR="00640D60">
        <w:t xml:space="preserve">by the fact that most </w:t>
      </w:r>
      <w:r w:rsidR="007C6241">
        <w:t xml:space="preserve">eighteenth and nineteenth century </w:t>
      </w:r>
      <w:r w:rsidR="005676AD">
        <w:t>definitions</w:t>
      </w:r>
      <w:r w:rsidR="0046629F">
        <w:t xml:space="preserve"> </w:t>
      </w:r>
      <w:r w:rsidR="005676AD">
        <w:t xml:space="preserve">of </w:t>
      </w:r>
      <w:r w:rsidR="0046629F" w:rsidRPr="00556AD5">
        <w:t xml:space="preserve">forestalling, </w:t>
      </w:r>
      <w:proofErr w:type="spellStart"/>
      <w:r w:rsidR="0046629F" w:rsidRPr="00556AD5">
        <w:t>regrating</w:t>
      </w:r>
      <w:proofErr w:type="spellEnd"/>
      <w:r w:rsidR="0046629F" w:rsidRPr="00556AD5">
        <w:t xml:space="preserve"> and </w:t>
      </w:r>
      <w:proofErr w:type="spellStart"/>
      <w:r w:rsidR="0046629F" w:rsidRPr="00556AD5">
        <w:t>ingrossing</w:t>
      </w:r>
      <w:proofErr w:type="spellEnd"/>
      <w:r w:rsidR="0046629F" w:rsidRPr="00556AD5">
        <w:t xml:space="preserve"> </w:t>
      </w:r>
      <w:r w:rsidR="005676AD">
        <w:t>adopt</w:t>
      </w:r>
      <w:r w:rsidR="007C6241">
        <w:t>ed</w:t>
      </w:r>
      <w:r w:rsidR="005676AD">
        <w:t xml:space="preserve"> the </w:t>
      </w:r>
      <w:r w:rsidR="0046629F">
        <w:t xml:space="preserve">statutory </w:t>
      </w:r>
      <w:r w:rsidR="00033D04">
        <w:t xml:space="preserve">definition </w:t>
      </w:r>
      <w:r w:rsidR="00570077">
        <w:t xml:space="preserve">used when the offences were put into statutory form </w:t>
      </w:r>
      <w:r w:rsidR="005676AD">
        <w:t xml:space="preserve">in </w:t>
      </w:r>
      <w:r w:rsidRPr="00556AD5">
        <w:t>1552.</w:t>
      </w:r>
      <w:r w:rsidRPr="00556AD5">
        <w:rPr>
          <w:rStyle w:val="FootnoteReference"/>
        </w:rPr>
        <w:footnoteReference w:id="25"/>
      </w:r>
      <w:r w:rsidR="007C6241">
        <w:t xml:space="preserve">  Nevertheless, by the eighteenth century there was a universal consensus</w:t>
      </w:r>
      <w:r w:rsidR="007C6241">
        <w:rPr>
          <w:rStyle w:val="FootnoteReference"/>
        </w:rPr>
        <w:footnoteReference w:id="26"/>
      </w:r>
      <w:r w:rsidR="007C6241">
        <w:t xml:space="preserve"> that these were common law offences of some antiquity. </w:t>
      </w:r>
    </w:p>
    <w:p w:rsidR="00A12DF2" w:rsidRDefault="00A12DF2" w:rsidP="005676AD">
      <w:pPr>
        <w:pStyle w:val="ASQC"/>
        <w:numPr>
          <w:ilvl w:val="0"/>
          <w:numId w:val="0"/>
        </w:numPr>
        <w:ind w:left="567"/>
      </w:pPr>
    </w:p>
    <w:p w:rsidR="00640D60" w:rsidRPr="00556AD5" w:rsidRDefault="00ED2BBF" w:rsidP="00B406AA">
      <w:pPr>
        <w:pStyle w:val="ListParagraph"/>
        <w:numPr>
          <w:ilvl w:val="0"/>
          <w:numId w:val="11"/>
        </w:numPr>
        <w:ind w:left="567" w:hanging="567"/>
      </w:pPr>
      <w:r w:rsidRPr="00570077">
        <w:rPr>
          <w:sz w:val="24"/>
          <w:szCs w:val="24"/>
        </w:rPr>
        <w:t xml:space="preserve">Not unnaturally, most reports concern the necessities of life.  However, whereas engrossing appears to have been limited </w:t>
      </w:r>
      <w:r w:rsidR="00033D04" w:rsidRPr="00570077">
        <w:rPr>
          <w:sz w:val="24"/>
          <w:szCs w:val="24"/>
        </w:rPr>
        <w:t xml:space="preserve">to such </w:t>
      </w:r>
      <w:r w:rsidRPr="00570077">
        <w:rPr>
          <w:sz w:val="24"/>
          <w:szCs w:val="24"/>
        </w:rPr>
        <w:t>necessities as agricultural produce, livestock, meat, poultry,</w:t>
      </w:r>
      <w:r w:rsidRPr="00570077">
        <w:rPr>
          <w:rStyle w:val="FootnoteReference"/>
          <w:sz w:val="24"/>
          <w:szCs w:val="24"/>
        </w:rPr>
        <w:footnoteReference w:id="27"/>
      </w:r>
      <w:r w:rsidRPr="00570077">
        <w:rPr>
          <w:sz w:val="24"/>
          <w:szCs w:val="24"/>
        </w:rPr>
        <w:t xml:space="preserve"> fish, salt (a preservative);</w:t>
      </w:r>
      <w:r w:rsidRPr="00570077">
        <w:rPr>
          <w:rStyle w:val="FootnoteReference"/>
          <w:sz w:val="24"/>
          <w:szCs w:val="24"/>
        </w:rPr>
        <w:footnoteReference w:id="28"/>
      </w:r>
      <w:r w:rsidRPr="00570077">
        <w:rPr>
          <w:sz w:val="24"/>
          <w:szCs w:val="24"/>
        </w:rPr>
        <w:t xml:space="preserve"> tar</w:t>
      </w:r>
      <w:r w:rsidRPr="00570077">
        <w:rPr>
          <w:rStyle w:val="FootnoteReference"/>
          <w:sz w:val="24"/>
          <w:szCs w:val="24"/>
        </w:rPr>
        <w:footnoteReference w:id="29"/>
      </w:r>
      <w:r w:rsidRPr="00570077">
        <w:rPr>
          <w:sz w:val="24"/>
          <w:szCs w:val="24"/>
        </w:rPr>
        <w:t xml:space="preserve"> (</w:t>
      </w:r>
      <w:r w:rsidRPr="002F0109">
        <w:rPr>
          <w:sz w:val="24"/>
        </w:rPr>
        <w:t>used to treat sheep</w:t>
      </w:r>
      <w:r>
        <w:rPr>
          <w:sz w:val="24"/>
        </w:rPr>
        <w:t>)</w:t>
      </w:r>
      <w:r w:rsidRPr="002F0109">
        <w:rPr>
          <w:sz w:val="24"/>
        </w:rPr>
        <w:t xml:space="preserve"> a</w:t>
      </w:r>
      <w:r>
        <w:rPr>
          <w:sz w:val="24"/>
        </w:rPr>
        <w:t>nd coal,</w:t>
      </w:r>
      <w:r>
        <w:rPr>
          <w:rStyle w:val="FootnoteReference"/>
          <w:sz w:val="24"/>
          <w:szCs w:val="24"/>
        </w:rPr>
        <w:footnoteReference w:id="30"/>
      </w:r>
      <w:r>
        <w:t xml:space="preserve">  </w:t>
      </w:r>
      <w:r>
        <w:rPr>
          <w:sz w:val="24"/>
        </w:rPr>
        <w:t>forestalling at least included other merchandise.</w:t>
      </w:r>
      <w:r w:rsidR="00640D60">
        <w:rPr>
          <w:rStyle w:val="FootnoteReference"/>
          <w:sz w:val="24"/>
          <w:szCs w:val="24"/>
        </w:rPr>
        <w:footnoteReference w:id="31"/>
      </w:r>
      <w:r w:rsidR="00640D60">
        <w:rPr>
          <w:sz w:val="24"/>
          <w:szCs w:val="24"/>
        </w:rPr>
        <w:t xml:space="preserve">  In </w:t>
      </w:r>
      <w:r w:rsidR="00640D60" w:rsidRPr="00F4269A">
        <w:rPr>
          <w:i/>
          <w:iCs/>
          <w:sz w:val="24"/>
        </w:rPr>
        <w:t>Starling</w:t>
      </w:r>
      <w:r w:rsidR="00640D60" w:rsidRPr="00556AD5">
        <w:rPr>
          <w:rStyle w:val="FootnoteReference"/>
          <w:sz w:val="24"/>
        </w:rPr>
        <w:footnoteReference w:id="32"/>
      </w:r>
      <w:r w:rsidR="00640D60" w:rsidRPr="00C23924">
        <w:rPr>
          <w:sz w:val="24"/>
        </w:rPr>
        <w:t xml:space="preserve"> it </w:t>
      </w:r>
      <w:r w:rsidR="00640D60">
        <w:rPr>
          <w:sz w:val="24"/>
        </w:rPr>
        <w:t>was</w:t>
      </w:r>
      <w:r w:rsidR="00640D60" w:rsidRPr="00C23924">
        <w:rPr>
          <w:sz w:val="24"/>
        </w:rPr>
        <w:t xml:space="preserve"> said that "</w:t>
      </w:r>
      <w:r w:rsidR="00640D60" w:rsidRPr="00F4269A">
        <w:rPr>
          <w:i/>
          <w:iCs/>
          <w:sz w:val="24"/>
        </w:rPr>
        <w:t>the very conspiracy to raise the price of pepper is punishable, or of any other merchandise</w:t>
      </w:r>
      <w:r w:rsidR="00640D60" w:rsidRPr="00C23924">
        <w:rPr>
          <w:sz w:val="24"/>
        </w:rPr>
        <w:t>."</w:t>
      </w:r>
      <w:r w:rsidR="00640D60" w:rsidRPr="00556AD5">
        <w:rPr>
          <w:rStyle w:val="FootnoteReference"/>
          <w:sz w:val="24"/>
        </w:rPr>
        <w:footnoteReference w:id="33"/>
      </w:r>
      <w:r w:rsidR="00640D60">
        <w:rPr>
          <w:sz w:val="24"/>
        </w:rPr>
        <w:t xml:space="preserve">  Pepper could hardly have been then described as a necessity</w:t>
      </w:r>
      <w:r w:rsidR="00F4269A">
        <w:rPr>
          <w:sz w:val="24"/>
        </w:rPr>
        <w:t xml:space="preserve">, nor indeed </w:t>
      </w:r>
      <w:proofErr w:type="gramStart"/>
      <w:r w:rsidR="00F4269A">
        <w:rPr>
          <w:sz w:val="24"/>
        </w:rPr>
        <w:t>linen</w:t>
      </w:r>
      <w:r w:rsidR="00F4269A">
        <w:rPr>
          <w:rStyle w:val="FootnoteReference"/>
          <w:sz w:val="24"/>
        </w:rPr>
        <w:footnoteReference w:id="34"/>
      </w:r>
      <w:r w:rsidR="00F4269A">
        <w:rPr>
          <w:sz w:val="24"/>
        </w:rPr>
        <w:t xml:space="preserve"> nor</w:t>
      </w:r>
      <w:proofErr w:type="gramEnd"/>
      <w:r w:rsidR="00F4269A">
        <w:rPr>
          <w:sz w:val="24"/>
        </w:rPr>
        <w:t xml:space="preserve"> silk.</w:t>
      </w:r>
      <w:r w:rsidR="00F4269A" w:rsidRPr="00F4269A">
        <w:rPr>
          <w:rStyle w:val="FootnoteReference"/>
          <w:sz w:val="24"/>
        </w:rPr>
        <w:t xml:space="preserve"> </w:t>
      </w:r>
      <w:r w:rsidR="00F4269A">
        <w:rPr>
          <w:rStyle w:val="FootnoteReference"/>
          <w:sz w:val="24"/>
        </w:rPr>
        <w:footnoteReference w:id="35"/>
      </w:r>
      <w:r w:rsidR="00640D60">
        <w:rPr>
          <w:sz w:val="24"/>
        </w:rPr>
        <w:t xml:space="preserve"> </w:t>
      </w:r>
    </w:p>
    <w:p w:rsidR="00524150" w:rsidRDefault="00524150" w:rsidP="00524150">
      <w:pPr>
        <w:pStyle w:val="ListParagraph"/>
        <w:spacing w:line="240" w:lineRule="auto"/>
        <w:ind w:left="567"/>
        <w:rPr>
          <w:sz w:val="24"/>
          <w:szCs w:val="24"/>
        </w:rPr>
      </w:pPr>
    </w:p>
    <w:p w:rsidR="009D1BC9" w:rsidRDefault="006D1BEF" w:rsidP="00551A03">
      <w:pPr>
        <w:pStyle w:val="ASQC"/>
      </w:pPr>
      <w:r w:rsidRPr="009D1BC9">
        <w:t xml:space="preserve">However, by the later eighteenth century, </w:t>
      </w:r>
      <w:r w:rsidR="009D1BC9" w:rsidRPr="009D1BC9">
        <w:t xml:space="preserve">more enlightened views began to </w:t>
      </w:r>
      <w:r w:rsidR="00033D04">
        <w:t xml:space="preserve">emerge </w:t>
      </w:r>
      <w:r w:rsidR="009D1BC9" w:rsidRPr="009D1BC9">
        <w:t xml:space="preserve">as </w:t>
      </w:r>
      <w:r w:rsidR="009D1BC9" w:rsidRPr="009D1BC9">
        <w:rPr>
          <w:i/>
          <w:iCs/>
        </w:rPr>
        <w:t>laissez-faire</w:t>
      </w:r>
      <w:r w:rsidR="00B406AA">
        <w:t xml:space="preserve"> economic theories</w:t>
      </w:r>
      <w:r w:rsidR="009D1BC9" w:rsidRPr="009D1BC9">
        <w:rPr>
          <w:rStyle w:val="FootnoteReference"/>
        </w:rPr>
        <w:footnoteReference w:id="36"/>
      </w:r>
      <w:r w:rsidR="009D1BC9" w:rsidRPr="009D1BC9">
        <w:t xml:space="preserve"> </w:t>
      </w:r>
      <w:r w:rsidR="00B406AA">
        <w:t xml:space="preserve">disavowed </w:t>
      </w:r>
      <w:r w:rsidR="009D1BC9">
        <w:t xml:space="preserve">these market restrictions. Adam Smith railed against them in his </w:t>
      </w:r>
      <w:r w:rsidR="009D1BC9" w:rsidRPr="00F062CA">
        <w:rPr>
          <w:i/>
        </w:rPr>
        <w:t>Wealth of Nations</w:t>
      </w:r>
      <w:r w:rsidR="009D1BC9">
        <w:t>:</w:t>
      </w:r>
      <w:r w:rsidR="009D1BC9">
        <w:rPr>
          <w:rStyle w:val="FootnoteReference"/>
          <w:i/>
        </w:rPr>
        <w:footnoteReference w:id="37"/>
      </w:r>
    </w:p>
    <w:p w:rsidR="00033D04" w:rsidRDefault="00033D04" w:rsidP="009D1BC9">
      <w:pPr>
        <w:pStyle w:val="ASQC"/>
        <w:numPr>
          <w:ilvl w:val="0"/>
          <w:numId w:val="0"/>
        </w:numPr>
        <w:spacing w:after="120" w:line="240" w:lineRule="auto"/>
        <w:ind w:left="992"/>
        <w:rPr>
          <w:i/>
          <w:sz w:val="22"/>
        </w:rPr>
      </w:pPr>
    </w:p>
    <w:p w:rsidR="00F4269A" w:rsidRPr="009D1BC9" w:rsidRDefault="009D1BC9" w:rsidP="009D1BC9">
      <w:pPr>
        <w:pStyle w:val="ASQC"/>
        <w:numPr>
          <w:ilvl w:val="0"/>
          <w:numId w:val="0"/>
        </w:numPr>
        <w:spacing w:after="120" w:line="240" w:lineRule="auto"/>
        <w:ind w:left="992"/>
        <w:rPr>
          <w:sz w:val="22"/>
        </w:rPr>
      </w:pPr>
      <w:r w:rsidRPr="009D1BC9">
        <w:rPr>
          <w:i/>
          <w:sz w:val="22"/>
        </w:rPr>
        <w:t>The popular fear of engrossing and forestalling may be compared to the popular terrors and suspicions of witchcraft. The unfortunate wretches accused of this latter crime were not more innocent of the misfortunes imputed to them, than those who have been accused of the former.</w:t>
      </w:r>
      <w:r w:rsidRPr="009D1BC9">
        <w:rPr>
          <w:rStyle w:val="FootnoteReference"/>
          <w:i/>
          <w:sz w:val="22"/>
        </w:rPr>
        <w:footnoteReference w:id="38"/>
      </w:r>
    </w:p>
    <w:p w:rsidR="00033D04" w:rsidRDefault="00033D04" w:rsidP="00033D04">
      <w:pPr>
        <w:pStyle w:val="ASQC"/>
        <w:numPr>
          <w:ilvl w:val="0"/>
          <w:numId w:val="0"/>
        </w:numPr>
        <w:ind w:left="567"/>
      </w:pPr>
    </w:p>
    <w:p w:rsidR="009D1BC9" w:rsidRDefault="00033D04" w:rsidP="00B406AA">
      <w:pPr>
        <w:pStyle w:val="ASQC"/>
      </w:pPr>
      <w:r>
        <w:t xml:space="preserve">In this he seems to have been supported by Lord Mansfield, who was </w:t>
      </w:r>
      <w:r w:rsidR="009D1BC9" w:rsidRPr="009D1BC9">
        <w:t>Chief Justice of the King’s Bench Division (1756-1788)</w:t>
      </w:r>
      <w:r>
        <w:t xml:space="preserve">. Lord Mansfield </w:t>
      </w:r>
      <w:r w:rsidR="009D1BC9" w:rsidRPr="009D1BC9">
        <w:t xml:space="preserve">has </w:t>
      </w:r>
      <w:r w:rsidR="009D1BC9" w:rsidRPr="00B406AA">
        <w:rPr>
          <w:shd w:val="clear" w:color="auto" w:fill="FFFFFF"/>
        </w:rPr>
        <w:t>been called the fo</w:t>
      </w:r>
      <w:r>
        <w:rPr>
          <w:shd w:val="clear" w:color="auto" w:fill="FFFFFF"/>
        </w:rPr>
        <w:t xml:space="preserve">under of English commercial law. </w:t>
      </w:r>
      <w:r w:rsidR="009D1BC9" w:rsidRPr="009D1BC9">
        <w:rPr>
          <w:rStyle w:val="FootnoteReference"/>
          <w:rFonts w:ascii="Calibri" w:hAnsi="Calibri"/>
          <w:shd w:val="clear" w:color="auto" w:fill="FFFFFF"/>
        </w:rPr>
        <w:footnoteReference w:id="39"/>
      </w:r>
      <w:r w:rsidR="009D1BC9" w:rsidRPr="00B406AA">
        <w:rPr>
          <w:shd w:val="clear" w:color="auto" w:fill="FFFFFF"/>
        </w:rPr>
        <w:t xml:space="preserve">  Not surprisingly he held strong free trade views and appears to have</w:t>
      </w:r>
      <w:r w:rsidR="00B406AA" w:rsidRPr="00B406AA">
        <w:rPr>
          <w:shd w:val="clear" w:color="auto" w:fill="FFFFFF"/>
        </w:rPr>
        <w:t xml:space="preserve"> supported the </w:t>
      </w:r>
      <w:r w:rsidR="00B406AA" w:rsidRPr="00B406AA">
        <w:rPr>
          <w:rFonts w:ascii="Times New Roman" w:hAnsi="Times New Roman" w:cs="Times New Roman"/>
          <w:i/>
        </w:rPr>
        <w:t>Repeal of Certain Laws Act</w:t>
      </w:r>
      <w:r w:rsidR="00B406AA" w:rsidRPr="00B406AA">
        <w:rPr>
          <w:rFonts w:ascii="Times New Roman" w:hAnsi="Times New Roman" w:cs="Times New Roman"/>
        </w:rPr>
        <w:t xml:space="preserve"> </w:t>
      </w:r>
      <w:r w:rsidR="00B406AA">
        <w:t xml:space="preserve">1772 which repealed </w:t>
      </w:r>
      <w:r w:rsidR="00B406AA" w:rsidRPr="00B406AA">
        <w:rPr>
          <w:shd w:val="clear" w:color="auto" w:fill="FFFFFF"/>
        </w:rPr>
        <w:t>t</w:t>
      </w:r>
      <w:r w:rsidR="00B406AA" w:rsidRPr="00556AD5">
        <w:t xml:space="preserve">he statute of </w:t>
      </w:r>
      <w:r w:rsidR="00B406AA">
        <w:t xml:space="preserve">1552.  </w:t>
      </w:r>
      <w:r w:rsidR="009D1BC9" w:rsidRPr="009D1BC9">
        <w:t xml:space="preserve">Indeed, in a case before Lord Kenyon in 1800, barrister Edward Law </w:t>
      </w:r>
      <w:r w:rsidR="009D1BC9" w:rsidRPr="009D1BC9">
        <w:lastRenderedPageBreak/>
        <w:t>asserted that Mansfield had “</w:t>
      </w:r>
      <w:r w:rsidR="009D1BC9" w:rsidRPr="009D1BC9">
        <w:rPr>
          <w:i/>
        </w:rPr>
        <w:t xml:space="preserve">revolted so much at the judgment which, under the statute, he was obliged to pronounce, that he ….. </w:t>
      </w:r>
      <w:proofErr w:type="gramStart"/>
      <w:r w:rsidR="009D1BC9" w:rsidRPr="009D1BC9">
        <w:rPr>
          <w:i/>
        </w:rPr>
        <w:t>let</w:t>
      </w:r>
      <w:proofErr w:type="gramEnd"/>
      <w:r w:rsidR="009D1BC9" w:rsidRPr="009D1BC9">
        <w:rPr>
          <w:i/>
        </w:rPr>
        <w:t xml:space="preserve"> the matter stand over, postponing his judgment from term to term, until the statute itself … had been repealed.</w:t>
      </w:r>
      <w:r w:rsidR="009D1BC9">
        <w:t>”</w:t>
      </w:r>
      <w:r w:rsidR="009D1BC9">
        <w:rPr>
          <w:rStyle w:val="FootnoteReference"/>
          <w:rFonts w:ascii="Calibri" w:hAnsi="Calibri"/>
        </w:rPr>
        <w:footnoteReference w:id="40"/>
      </w:r>
    </w:p>
    <w:p w:rsidR="00B406AA" w:rsidRDefault="00B406AA" w:rsidP="00B406AA">
      <w:pPr>
        <w:pStyle w:val="ASQC"/>
        <w:numPr>
          <w:ilvl w:val="0"/>
          <w:numId w:val="0"/>
        </w:numPr>
        <w:ind w:left="567"/>
      </w:pPr>
    </w:p>
    <w:p w:rsidR="00524150" w:rsidRDefault="00B406AA" w:rsidP="00524150">
      <w:pPr>
        <w:pStyle w:val="ASQC"/>
        <w:rPr>
          <w:shd w:val="clear" w:color="auto" w:fill="FFFFFF"/>
        </w:rPr>
      </w:pPr>
      <w:r w:rsidRPr="00B406AA">
        <w:rPr>
          <w:shd w:val="clear" w:color="auto" w:fill="FFFFFF"/>
        </w:rPr>
        <w:t xml:space="preserve">However, Adam Smith’s views were not </w:t>
      </w:r>
      <w:r w:rsidR="00033D04">
        <w:rPr>
          <w:shd w:val="clear" w:color="auto" w:fill="FFFFFF"/>
        </w:rPr>
        <w:t>wholly unopposed in Parliament. T</w:t>
      </w:r>
      <w:r w:rsidRPr="00B406AA">
        <w:rPr>
          <w:shd w:val="clear" w:color="auto" w:fill="FFFFFF"/>
        </w:rPr>
        <w:t xml:space="preserve">here </w:t>
      </w:r>
      <w:r w:rsidR="007207C1">
        <w:rPr>
          <w:shd w:val="clear" w:color="auto" w:fill="FFFFFF"/>
        </w:rPr>
        <w:t xml:space="preserve">were </w:t>
      </w:r>
      <w:r w:rsidRPr="00B406AA">
        <w:rPr>
          <w:shd w:val="clear" w:color="auto" w:fill="FFFFFF"/>
        </w:rPr>
        <w:t>attempt</w:t>
      </w:r>
      <w:r w:rsidR="007207C1">
        <w:rPr>
          <w:shd w:val="clear" w:color="auto" w:fill="FFFFFF"/>
        </w:rPr>
        <w:t>s</w:t>
      </w:r>
      <w:r w:rsidRPr="00B406AA">
        <w:rPr>
          <w:shd w:val="clear" w:color="auto" w:fill="FFFFFF"/>
        </w:rPr>
        <w:t xml:space="preserve"> to re-introduce </w:t>
      </w:r>
      <w:r w:rsidR="00033D04">
        <w:rPr>
          <w:shd w:val="clear" w:color="auto" w:fill="FFFFFF"/>
        </w:rPr>
        <w:t xml:space="preserve">these </w:t>
      </w:r>
      <w:r w:rsidRPr="00B406AA">
        <w:rPr>
          <w:shd w:val="clear" w:color="auto" w:fill="FFFFFF"/>
        </w:rPr>
        <w:t>criminal penalties in 1787</w:t>
      </w:r>
      <w:r w:rsidR="007207C1">
        <w:rPr>
          <w:shd w:val="clear" w:color="auto" w:fill="FFFFFF"/>
        </w:rPr>
        <w:t>,</w:t>
      </w:r>
      <w:r w:rsidRPr="00B406AA">
        <w:rPr>
          <w:shd w:val="clear" w:color="auto" w:fill="FFFFFF"/>
        </w:rPr>
        <w:t xml:space="preserve"> which was opposed by Edmund Burke who cond</w:t>
      </w:r>
      <w:r w:rsidR="00033D04">
        <w:rPr>
          <w:shd w:val="clear" w:color="auto" w:fill="FFFFFF"/>
        </w:rPr>
        <w:t xml:space="preserve">emned similar proposals in 1795. </w:t>
      </w:r>
      <w:r w:rsidR="007207C1">
        <w:rPr>
          <w:shd w:val="clear" w:color="auto" w:fill="FFFFFF"/>
        </w:rPr>
        <w:t xml:space="preserve"> </w:t>
      </w:r>
      <w:r w:rsidR="00033D04">
        <w:rPr>
          <w:shd w:val="clear" w:color="auto" w:fill="FFFFFF"/>
        </w:rPr>
        <w:t>A</w:t>
      </w:r>
      <w:r w:rsidRPr="00B406AA">
        <w:rPr>
          <w:shd w:val="clear" w:color="auto" w:fill="FFFFFF"/>
        </w:rPr>
        <w:t xml:space="preserve"> restoring Bill in 1797 was defeated.</w:t>
      </w:r>
      <w:r>
        <w:rPr>
          <w:rStyle w:val="FootnoteReference"/>
          <w:shd w:val="clear" w:color="auto" w:fill="FFFFFF"/>
        </w:rPr>
        <w:footnoteReference w:id="41"/>
      </w:r>
      <w:r w:rsidRPr="00B406AA">
        <w:rPr>
          <w:shd w:val="clear" w:color="auto" w:fill="FFFFFF"/>
        </w:rPr>
        <w:t xml:space="preserve"> </w:t>
      </w:r>
      <w:r w:rsidR="00524150">
        <w:rPr>
          <w:shd w:val="clear" w:color="auto" w:fill="FFFFFF"/>
        </w:rPr>
        <w:t xml:space="preserve"> </w:t>
      </w:r>
    </w:p>
    <w:p w:rsidR="008E3C9A" w:rsidRDefault="008E3C9A" w:rsidP="001C50A9">
      <w:pPr>
        <w:pStyle w:val="ASQC"/>
        <w:numPr>
          <w:ilvl w:val="0"/>
          <w:numId w:val="0"/>
        </w:numPr>
        <w:ind w:left="567"/>
        <w:rPr>
          <w:shd w:val="clear" w:color="auto" w:fill="FFFFFF"/>
        </w:rPr>
      </w:pPr>
    </w:p>
    <w:p w:rsidR="002D0E3F" w:rsidRDefault="00B406AA" w:rsidP="008E3C9A">
      <w:pPr>
        <w:pStyle w:val="ASQC"/>
      </w:pPr>
      <w:r w:rsidRPr="00524150">
        <w:rPr>
          <w:shd w:val="clear" w:color="auto" w:fill="FFFFFF"/>
        </w:rPr>
        <w:t xml:space="preserve">Opposition from the </w:t>
      </w:r>
      <w:r w:rsidR="00033D04" w:rsidRPr="00524150">
        <w:rPr>
          <w:shd w:val="clear" w:color="auto" w:fill="FFFFFF"/>
        </w:rPr>
        <w:t xml:space="preserve">judiciary was more successful. </w:t>
      </w:r>
      <w:r w:rsidRPr="00524150">
        <w:rPr>
          <w:shd w:val="clear" w:color="auto" w:fill="FFFFFF"/>
        </w:rPr>
        <w:t>Lord Kenyon</w:t>
      </w:r>
      <w:r w:rsidR="009818EC" w:rsidRPr="00524150">
        <w:rPr>
          <w:shd w:val="clear" w:color="auto" w:fill="FFFFFF"/>
        </w:rPr>
        <w:t>, who</w:t>
      </w:r>
      <w:r w:rsidRPr="00524150">
        <w:rPr>
          <w:shd w:val="clear" w:color="auto" w:fill="FFFFFF"/>
        </w:rPr>
        <w:t xml:space="preserve"> succeeded Lord Mansfield as Chief </w:t>
      </w:r>
      <w:r>
        <w:t>Justice of King’</w:t>
      </w:r>
      <w:r w:rsidR="009818EC">
        <w:t xml:space="preserve">s Bench in 1788, </w:t>
      </w:r>
      <w:r w:rsidR="007207C1">
        <w:t xml:space="preserve">diverged from the views of his predecessor. </w:t>
      </w:r>
      <w:r w:rsidR="00033D04">
        <w:t xml:space="preserve">He thought </w:t>
      </w:r>
      <w:r w:rsidR="009818EC">
        <w:t>that the common law subsisted</w:t>
      </w:r>
      <w:r w:rsidR="00033D04">
        <w:t>,</w:t>
      </w:r>
      <w:r w:rsidR="007207C1">
        <w:t xml:space="preserve"> and made his views known</w:t>
      </w:r>
      <w:r w:rsidR="00033D04">
        <w:t xml:space="preserve"> for example by specifically announcing on the summer assize circuit in 1795 that forestalling was still indictable at common law.</w:t>
      </w:r>
      <w:r w:rsidR="00033D04">
        <w:rPr>
          <w:rStyle w:val="FootnoteReference"/>
        </w:rPr>
        <w:footnoteReference w:id="42"/>
      </w:r>
      <w:r w:rsidR="00033D04">
        <w:t xml:space="preserve"> </w:t>
      </w:r>
      <w:r w:rsidR="009818EC">
        <w:t>He described the repeal of the s</w:t>
      </w:r>
      <w:r w:rsidR="00524150">
        <w:t>tatute as "</w:t>
      </w:r>
      <w:r w:rsidR="00524150" w:rsidRPr="00524150">
        <w:rPr>
          <w:i/>
        </w:rPr>
        <w:t>though in an evil hour all the statutes which had been existing above a century were at one blow repealed, yet, thank God, the provisions of the common law were not destroyed.”</w:t>
      </w:r>
      <w:r w:rsidR="00524150">
        <w:rPr>
          <w:rStyle w:val="FootnoteReference"/>
          <w:i/>
        </w:rPr>
        <w:footnoteReference w:id="43"/>
      </w:r>
      <w:r w:rsidR="00524150">
        <w:t xml:space="preserve"> Kenyon </w:t>
      </w:r>
      <w:r w:rsidR="00033D04">
        <w:t xml:space="preserve">enjoyed the support of his </w:t>
      </w:r>
      <w:r w:rsidR="009818EC">
        <w:t>fellow judges</w:t>
      </w:r>
      <w:r w:rsidR="00524150">
        <w:t xml:space="preserve">, </w:t>
      </w:r>
      <w:r w:rsidR="007207C1">
        <w:t xml:space="preserve">and </w:t>
      </w:r>
      <w:r w:rsidR="00033D04">
        <w:t xml:space="preserve">had some legal </w:t>
      </w:r>
      <w:r w:rsidR="00524150">
        <w:t>support from the law</w:t>
      </w:r>
      <w:r w:rsidR="009818EC">
        <w:t>-books</w:t>
      </w:r>
      <w:r w:rsidR="00524150">
        <w:t xml:space="preserve">. However, </w:t>
      </w:r>
      <w:r w:rsidR="00033D04">
        <w:t xml:space="preserve">there had </w:t>
      </w:r>
      <w:r w:rsidR="009818EC">
        <w:t xml:space="preserve">been little appetite for </w:t>
      </w:r>
      <w:r w:rsidR="00524150">
        <w:t xml:space="preserve">such </w:t>
      </w:r>
      <w:r w:rsidR="009818EC">
        <w:t>prosecutions</w:t>
      </w:r>
      <w:r w:rsidR="00033D04">
        <w:t xml:space="preserve"> under Lord Mansfield</w:t>
      </w:r>
      <w:r w:rsidR="002D0E3F">
        <w:t>.</w:t>
      </w:r>
    </w:p>
    <w:p w:rsidR="002D0E3F" w:rsidRDefault="002D0E3F" w:rsidP="002D0E3F">
      <w:pPr>
        <w:pStyle w:val="ASQC"/>
        <w:numPr>
          <w:ilvl w:val="0"/>
          <w:numId w:val="0"/>
        </w:numPr>
        <w:ind w:left="567"/>
      </w:pPr>
    </w:p>
    <w:p w:rsidR="0053211A" w:rsidRDefault="009818EC" w:rsidP="002D0E3F">
      <w:pPr>
        <w:pStyle w:val="ASQC"/>
      </w:pPr>
      <w:r>
        <w:t xml:space="preserve">The poor harvests and food shortages of 1795 and 1800 </w:t>
      </w:r>
      <w:r w:rsidR="00033D04">
        <w:t xml:space="preserve">led to food riots. Again, speculators provided easy targets for the mob.  They were encouraged by traditionalists such as </w:t>
      </w:r>
      <w:r>
        <w:t>Joseph</w:t>
      </w:r>
      <w:r w:rsidR="00033D04">
        <w:t xml:space="preserve"> Girdler, </w:t>
      </w:r>
      <w:r>
        <w:t xml:space="preserve">an old-fashioned JP </w:t>
      </w:r>
      <w:r w:rsidR="0053211A">
        <w:t>who started a general campaign of prosecution against forestallers in 1796 and 1800. He produced handbills, offered rewards for information, wrote letters to the press</w:t>
      </w:r>
      <w:r w:rsidR="0053211A">
        <w:rPr>
          <w:rStyle w:val="FootnoteReference"/>
        </w:rPr>
        <w:footnoteReference w:id="44"/>
      </w:r>
      <w:r w:rsidR="0053211A">
        <w:t xml:space="preserve"> and published an essay on the law. </w:t>
      </w:r>
      <w:r w:rsidR="004E2807">
        <w:t xml:space="preserve"> He also instigated a number of prosecutions. </w:t>
      </w:r>
      <w:r w:rsidR="0053211A">
        <w:t xml:space="preserve"> His prodigious efforts spurred one anonymous correspondent to write:</w:t>
      </w:r>
    </w:p>
    <w:p w:rsidR="0053211A" w:rsidRDefault="0053211A" w:rsidP="0053211A">
      <w:pPr>
        <w:pStyle w:val="ASQC"/>
        <w:numPr>
          <w:ilvl w:val="0"/>
          <w:numId w:val="0"/>
        </w:numPr>
        <w:ind w:left="851"/>
        <w:rPr>
          <w:i/>
          <w:sz w:val="22"/>
        </w:rPr>
      </w:pPr>
    </w:p>
    <w:p w:rsidR="0053211A" w:rsidRDefault="0053211A" w:rsidP="0053211A">
      <w:pPr>
        <w:pStyle w:val="ASQC"/>
        <w:numPr>
          <w:ilvl w:val="0"/>
          <w:numId w:val="0"/>
        </w:numPr>
        <w:ind w:left="851"/>
        <w:rPr>
          <w:sz w:val="22"/>
        </w:rPr>
      </w:pPr>
      <w:r w:rsidRPr="0053211A">
        <w:rPr>
          <w:i/>
          <w:sz w:val="22"/>
        </w:rPr>
        <w:t xml:space="preserve">“We no you are an enemy to Farmers, Millers, </w:t>
      </w:r>
      <w:proofErr w:type="spellStart"/>
      <w:r w:rsidRPr="0053211A">
        <w:rPr>
          <w:i/>
          <w:sz w:val="22"/>
        </w:rPr>
        <w:t>Mealmen</w:t>
      </w:r>
      <w:proofErr w:type="spellEnd"/>
      <w:r w:rsidRPr="0053211A">
        <w:rPr>
          <w:i/>
          <w:sz w:val="22"/>
        </w:rPr>
        <w:t xml:space="preserve"> and Bakers and our Trade if it had not bene for me and another you </w:t>
      </w:r>
      <w:proofErr w:type="spellStart"/>
      <w:r w:rsidRPr="0053211A">
        <w:rPr>
          <w:i/>
          <w:sz w:val="22"/>
        </w:rPr>
        <w:t>you</w:t>
      </w:r>
      <w:proofErr w:type="spellEnd"/>
      <w:r w:rsidRPr="0053211A">
        <w:rPr>
          <w:i/>
          <w:sz w:val="22"/>
        </w:rPr>
        <w:t xml:space="preserve"> son of a bitch you wold have bene </w:t>
      </w:r>
      <w:proofErr w:type="spellStart"/>
      <w:r w:rsidRPr="0053211A">
        <w:rPr>
          <w:i/>
          <w:sz w:val="22"/>
        </w:rPr>
        <w:t>murdurd</w:t>
      </w:r>
      <w:proofErr w:type="spellEnd"/>
      <w:r w:rsidRPr="0053211A">
        <w:rPr>
          <w:i/>
          <w:sz w:val="22"/>
        </w:rPr>
        <w:t xml:space="preserve"> long ago by offering your blasted rewards and persecuting Our Trade God dam you and blast you </w:t>
      </w:r>
      <w:proofErr w:type="spellStart"/>
      <w:r w:rsidRPr="0053211A">
        <w:rPr>
          <w:i/>
          <w:sz w:val="22"/>
        </w:rPr>
        <w:t>you</w:t>
      </w:r>
      <w:proofErr w:type="spellEnd"/>
      <w:r w:rsidRPr="0053211A">
        <w:rPr>
          <w:i/>
          <w:sz w:val="22"/>
        </w:rPr>
        <w:t xml:space="preserve"> shall never live to see another harvest. ..”</w:t>
      </w:r>
      <w:r>
        <w:rPr>
          <w:rStyle w:val="FootnoteReference"/>
          <w:i/>
          <w:sz w:val="22"/>
        </w:rPr>
        <w:footnoteReference w:id="45"/>
      </w:r>
    </w:p>
    <w:p w:rsidR="00BB14AC" w:rsidRDefault="00BB14AC" w:rsidP="0053211A">
      <w:pPr>
        <w:pStyle w:val="ASQC"/>
        <w:numPr>
          <w:ilvl w:val="0"/>
          <w:numId w:val="0"/>
        </w:numPr>
        <w:ind w:left="851"/>
        <w:rPr>
          <w:sz w:val="22"/>
        </w:rPr>
      </w:pPr>
    </w:p>
    <w:p w:rsidR="00FA6261" w:rsidRDefault="00FA6261" w:rsidP="00BB14AC">
      <w:pPr>
        <w:pStyle w:val="ASQC"/>
      </w:pPr>
      <w:r>
        <w:t xml:space="preserve">The </w:t>
      </w:r>
      <w:r w:rsidR="007207C1">
        <w:t xml:space="preserve">argument </w:t>
      </w:r>
      <w:r>
        <w:t>as to the efficacy or legitimacy of th</w:t>
      </w:r>
      <w:r w:rsidR="007207C1">
        <w:t>e common law offences continued.</w:t>
      </w:r>
    </w:p>
    <w:p w:rsidR="00BB14AC" w:rsidRPr="00BB14AC" w:rsidRDefault="00FA6261" w:rsidP="00FA6261">
      <w:pPr>
        <w:pStyle w:val="ASQC"/>
        <w:numPr>
          <w:ilvl w:val="0"/>
          <w:numId w:val="0"/>
        </w:numPr>
        <w:ind w:left="567"/>
      </w:pPr>
      <w:r>
        <w:t>Hay</w:t>
      </w:r>
      <w:r>
        <w:rPr>
          <w:rStyle w:val="FootnoteReference"/>
        </w:rPr>
        <w:footnoteReference w:id="46"/>
      </w:r>
      <w:r>
        <w:t xml:space="preserve"> states, “. </w:t>
      </w:r>
      <w:r w:rsidRPr="00FA6261">
        <w:rPr>
          <w:i/>
        </w:rPr>
        <w:t xml:space="preserve">. .if the common law was to continue to be put into effect, Kenyon and his brother judges needed to do two things: establish a modern authoritative precedent by a judgement after full argument by counsel; and encourage prosecutions </w:t>
      </w:r>
      <w:r w:rsidRPr="00FA6261">
        <w:rPr>
          <w:i/>
        </w:rPr>
        <w:lastRenderedPageBreak/>
        <w:t>through the most public discussion of the grounds of that judgement.</w:t>
      </w:r>
      <w:r>
        <w:t xml:space="preserve"> . . . </w:t>
      </w:r>
      <w:proofErr w:type="gramStart"/>
      <w:r w:rsidRPr="00FA6261">
        <w:rPr>
          <w:i/>
        </w:rPr>
        <w:t>as</w:t>
      </w:r>
      <w:proofErr w:type="gramEnd"/>
      <w:r w:rsidRPr="00FA6261">
        <w:rPr>
          <w:i/>
        </w:rPr>
        <w:t xml:space="preserve"> corn prices mounted to vertiginous heights, Kenyon and several of the other eleven common-law judges had been busy for some months working to those ends</w:t>
      </w:r>
      <w:r>
        <w:rPr>
          <w:i/>
        </w:rPr>
        <w:t>”</w:t>
      </w:r>
      <w:r>
        <w:t xml:space="preserve"> </w:t>
      </w:r>
    </w:p>
    <w:p w:rsidR="00FA6261" w:rsidRDefault="00FA6261" w:rsidP="00FA6261">
      <w:pPr>
        <w:pStyle w:val="ASQC"/>
        <w:numPr>
          <w:ilvl w:val="0"/>
          <w:numId w:val="0"/>
        </w:numPr>
        <w:ind w:left="567" w:hanging="567"/>
      </w:pPr>
    </w:p>
    <w:p w:rsidR="0052239B" w:rsidRDefault="007207C1" w:rsidP="007207C1">
      <w:pPr>
        <w:pStyle w:val="ASQC"/>
      </w:pPr>
      <w:r>
        <w:t xml:space="preserve">Two ideal targets </w:t>
      </w:r>
      <w:proofErr w:type="gramStart"/>
      <w:r>
        <w:t>appeared,</w:t>
      </w:r>
      <w:proofErr w:type="gramEnd"/>
      <w:r>
        <w:t xml:space="preserve"> of whom </w:t>
      </w:r>
      <w:r w:rsidR="00FA6261">
        <w:t xml:space="preserve">Samuel </w:t>
      </w:r>
      <w:proofErr w:type="spellStart"/>
      <w:r w:rsidR="00FA6261">
        <w:t>Ferrand</w:t>
      </w:r>
      <w:proofErr w:type="spellEnd"/>
      <w:r w:rsidR="00FA6261">
        <w:t xml:space="preserve"> Waddington</w:t>
      </w:r>
      <w:r w:rsidR="0053211A">
        <w:t xml:space="preserve"> </w:t>
      </w:r>
      <w:r>
        <w:t xml:space="preserve">achieved the greatest notoriety. Waddington </w:t>
      </w:r>
      <w:r w:rsidR="00FA6261">
        <w:t xml:space="preserve">was considered somewhat radical. He had stood unsuccessfully for Parliament (twice) and (again unsuccessfully) as one of the </w:t>
      </w:r>
      <w:proofErr w:type="spellStart"/>
      <w:r w:rsidR="00FA6261">
        <w:t>Sherrifs</w:t>
      </w:r>
      <w:proofErr w:type="spellEnd"/>
      <w:r w:rsidR="00FA6261">
        <w:t xml:space="preserve"> of London. </w:t>
      </w:r>
      <w:r w:rsidR="0052239B">
        <w:t xml:space="preserve">In 1798 he </w:t>
      </w:r>
      <w:r w:rsidR="002D0E3F">
        <w:t>beca</w:t>
      </w:r>
      <w:r w:rsidR="0052239B">
        <w:t>me a hop trader.  He inspected the Kent crop in 1799 and decid</w:t>
      </w:r>
      <w:r w:rsidR="002D0E3F">
        <w:t xml:space="preserve">ed that the yield would be poor, and </w:t>
      </w:r>
      <w:r w:rsidR="0052239B">
        <w:t>ma</w:t>
      </w:r>
      <w:r>
        <w:t>de a number of forward purchase</w:t>
      </w:r>
      <w:r w:rsidR="0052239B">
        <w:t>s. In 1800 he thought that the yield from the Worcester hop gardens would also be low and made similar forward purchases. He also tried to persuade the Worcester hop growers not to lower their prices, to hold their hops back temporarily, and not to sell so as to allow prices to rise. His motive appears to have been a genuine desire to assist poorly paid hop growers, as well as his own financial gain.</w:t>
      </w:r>
      <w:r w:rsidR="0052239B">
        <w:rPr>
          <w:rStyle w:val="FootnoteReference"/>
        </w:rPr>
        <w:footnoteReference w:id="47"/>
      </w:r>
      <w:r w:rsidR="0052239B">
        <w:t xml:space="preserve">  He was a perfect foil for Lord Kenyon.</w:t>
      </w:r>
    </w:p>
    <w:p w:rsidR="007207C1" w:rsidRDefault="0052239B" w:rsidP="0052239B">
      <w:pPr>
        <w:pStyle w:val="ListParagraph"/>
        <w:numPr>
          <w:ilvl w:val="0"/>
          <w:numId w:val="11"/>
        </w:numPr>
        <w:spacing w:line="240" w:lineRule="auto"/>
        <w:ind w:left="567" w:hanging="567"/>
        <w:rPr>
          <w:sz w:val="24"/>
          <w:szCs w:val="24"/>
        </w:rPr>
      </w:pPr>
      <w:r w:rsidRPr="007207C1">
        <w:rPr>
          <w:sz w:val="24"/>
        </w:rPr>
        <w:t xml:space="preserve">Waddington was </w:t>
      </w:r>
      <w:r w:rsidRPr="00556AD5">
        <w:rPr>
          <w:sz w:val="24"/>
          <w:szCs w:val="24"/>
        </w:rPr>
        <w:t>tried for 9 counts of engrossing and one count of effectively trying to rig the market</w:t>
      </w:r>
      <w:r>
        <w:rPr>
          <w:sz w:val="24"/>
          <w:szCs w:val="24"/>
        </w:rPr>
        <w:t xml:space="preserve"> (effectively forestalling) by spreading false rumours</w:t>
      </w:r>
      <w:r w:rsidRPr="00556AD5">
        <w:rPr>
          <w:sz w:val="24"/>
          <w:szCs w:val="24"/>
        </w:rPr>
        <w:t>.</w:t>
      </w:r>
      <w:r w:rsidRPr="00556AD5">
        <w:rPr>
          <w:rStyle w:val="FootnoteReference"/>
          <w:sz w:val="24"/>
          <w:szCs w:val="24"/>
        </w:rPr>
        <w:footnoteReference w:id="48"/>
      </w:r>
      <w:r w:rsidRPr="00556AD5">
        <w:rPr>
          <w:sz w:val="24"/>
          <w:szCs w:val="24"/>
        </w:rPr>
        <w:t xml:space="preserve"> Lord Kenyon CJ rejected the argument that these off</w:t>
      </w:r>
      <w:r>
        <w:rPr>
          <w:sz w:val="24"/>
          <w:szCs w:val="24"/>
        </w:rPr>
        <w:t>ences h</w:t>
      </w:r>
      <w:r w:rsidR="002D0E3F">
        <w:rPr>
          <w:sz w:val="24"/>
          <w:szCs w:val="24"/>
        </w:rPr>
        <w:t xml:space="preserve">ad been repealed in 1772, ruling </w:t>
      </w:r>
      <w:r w:rsidRPr="00556AD5">
        <w:rPr>
          <w:sz w:val="24"/>
          <w:szCs w:val="24"/>
        </w:rPr>
        <w:t xml:space="preserve">that the repeal affected only the statutory offences and that </w:t>
      </w:r>
      <w:r>
        <w:rPr>
          <w:sz w:val="24"/>
          <w:szCs w:val="24"/>
        </w:rPr>
        <w:t xml:space="preserve">the offence </w:t>
      </w:r>
      <w:r w:rsidRPr="00556AD5">
        <w:rPr>
          <w:sz w:val="24"/>
          <w:szCs w:val="24"/>
        </w:rPr>
        <w:t>subsisted in its older common law form.</w:t>
      </w:r>
      <w:r w:rsidRPr="00556AD5">
        <w:rPr>
          <w:rStyle w:val="FootnoteReference"/>
          <w:sz w:val="24"/>
          <w:szCs w:val="24"/>
        </w:rPr>
        <w:footnoteReference w:id="49"/>
      </w:r>
      <w:r w:rsidRPr="00556AD5">
        <w:rPr>
          <w:sz w:val="24"/>
          <w:szCs w:val="24"/>
        </w:rPr>
        <w:t xml:space="preserve"> </w:t>
      </w:r>
      <w:r w:rsidR="006D6CD1">
        <w:rPr>
          <w:sz w:val="24"/>
          <w:szCs w:val="24"/>
        </w:rPr>
        <w:t>He also used the case to attack Adam Smith</w:t>
      </w:r>
      <w:r w:rsidR="007207C1">
        <w:rPr>
          <w:sz w:val="24"/>
          <w:szCs w:val="24"/>
        </w:rPr>
        <w:t>:</w:t>
      </w:r>
      <w:r w:rsidR="006D6CD1">
        <w:rPr>
          <w:rStyle w:val="FootnoteReference"/>
          <w:sz w:val="24"/>
          <w:szCs w:val="24"/>
        </w:rPr>
        <w:footnoteReference w:id="50"/>
      </w:r>
      <w:r w:rsidR="006D6CD1">
        <w:rPr>
          <w:sz w:val="24"/>
          <w:szCs w:val="24"/>
        </w:rPr>
        <w:t xml:space="preserve"> </w:t>
      </w:r>
    </w:p>
    <w:p w:rsidR="007207C1" w:rsidRDefault="007207C1" w:rsidP="007207C1">
      <w:pPr>
        <w:pStyle w:val="ListParagraph"/>
        <w:spacing w:line="240" w:lineRule="auto"/>
        <w:ind w:left="567"/>
        <w:rPr>
          <w:sz w:val="24"/>
          <w:szCs w:val="24"/>
        </w:rPr>
      </w:pPr>
    </w:p>
    <w:p w:rsidR="007207C1" w:rsidRPr="00A87591" w:rsidRDefault="007207C1" w:rsidP="00A87591">
      <w:pPr>
        <w:pStyle w:val="ListParagraph"/>
        <w:spacing w:line="240" w:lineRule="auto"/>
        <w:ind w:left="851"/>
        <w:rPr>
          <w:sz w:val="32"/>
          <w:szCs w:val="24"/>
        </w:rPr>
      </w:pPr>
      <w:r w:rsidRPr="00A87591">
        <w:t>“</w:t>
      </w:r>
      <w:r w:rsidRPr="00A87591">
        <w:rPr>
          <w:i/>
        </w:rPr>
        <w:t xml:space="preserve">It has been said, that people have no more reason to fear forestalling, engrossing, and </w:t>
      </w:r>
      <w:proofErr w:type="spellStart"/>
      <w:r w:rsidRPr="00A87591">
        <w:rPr>
          <w:i/>
        </w:rPr>
        <w:t>regrating</w:t>
      </w:r>
      <w:proofErr w:type="spellEnd"/>
      <w:r w:rsidRPr="00A87591">
        <w:rPr>
          <w:i/>
        </w:rPr>
        <w:t>, than they have to fear witchcraft. It is easy for a man to write a treatise in his closet, but if he would go to the distance of 200 miles from London, and went to observe people at every avenue of a county town, buying up butter, cheese and all the necessaries of life they can lay hold of, in order to prevent them coming to market (which has happened to my knowledge) he would find that this is something more real, and substantial than the crime of witchcraft. The country suffers most grievously by it.”</w:t>
      </w:r>
    </w:p>
    <w:p w:rsidR="007207C1" w:rsidRDefault="007207C1" w:rsidP="007207C1">
      <w:pPr>
        <w:pStyle w:val="ListParagraph"/>
        <w:spacing w:line="240" w:lineRule="auto"/>
        <w:ind w:left="567"/>
        <w:rPr>
          <w:sz w:val="24"/>
          <w:szCs w:val="24"/>
        </w:rPr>
      </w:pPr>
    </w:p>
    <w:p w:rsidR="0052239B" w:rsidRDefault="0052239B" w:rsidP="0052239B">
      <w:pPr>
        <w:pStyle w:val="ListParagraph"/>
        <w:numPr>
          <w:ilvl w:val="0"/>
          <w:numId w:val="11"/>
        </w:numPr>
        <w:spacing w:line="240" w:lineRule="auto"/>
        <w:ind w:left="567" w:hanging="567"/>
        <w:rPr>
          <w:sz w:val="24"/>
          <w:szCs w:val="24"/>
        </w:rPr>
      </w:pPr>
      <w:r w:rsidRPr="00556AD5">
        <w:rPr>
          <w:sz w:val="24"/>
          <w:szCs w:val="24"/>
        </w:rPr>
        <w:t>Waddington was convicted</w:t>
      </w:r>
      <w:r>
        <w:rPr>
          <w:sz w:val="24"/>
          <w:szCs w:val="24"/>
        </w:rPr>
        <w:t xml:space="preserve">, </w:t>
      </w:r>
      <w:r w:rsidRPr="00556AD5">
        <w:rPr>
          <w:sz w:val="24"/>
          <w:szCs w:val="24"/>
        </w:rPr>
        <w:t>roundly condemned</w:t>
      </w:r>
      <w:r>
        <w:rPr>
          <w:sz w:val="24"/>
          <w:szCs w:val="24"/>
        </w:rPr>
        <w:t>,</w:t>
      </w:r>
      <w:r w:rsidR="0023445C" w:rsidRPr="0023445C">
        <w:rPr>
          <w:rStyle w:val="FootnoteReference"/>
          <w:sz w:val="24"/>
          <w:szCs w:val="24"/>
        </w:rPr>
        <w:t xml:space="preserve"> </w:t>
      </w:r>
      <w:r w:rsidR="0023445C" w:rsidRPr="00556AD5">
        <w:rPr>
          <w:rStyle w:val="FootnoteReference"/>
          <w:sz w:val="24"/>
          <w:szCs w:val="24"/>
        </w:rPr>
        <w:footnoteReference w:id="51"/>
      </w:r>
      <w:r>
        <w:rPr>
          <w:sz w:val="24"/>
          <w:szCs w:val="24"/>
        </w:rPr>
        <w:t xml:space="preserve"> fined £500 and sentenced to imprisonment for 1 month. </w:t>
      </w:r>
      <w:r w:rsidR="006D6CD1">
        <w:rPr>
          <w:sz w:val="24"/>
          <w:szCs w:val="24"/>
        </w:rPr>
        <w:t xml:space="preserve"> </w:t>
      </w:r>
      <w:r w:rsidR="0080149C">
        <w:rPr>
          <w:sz w:val="24"/>
          <w:szCs w:val="24"/>
        </w:rPr>
        <w:t>F</w:t>
      </w:r>
      <w:r>
        <w:rPr>
          <w:sz w:val="24"/>
          <w:szCs w:val="24"/>
        </w:rPr>
        <w:t xml:space="preserve">or his second </w:t>
      </w:r>
      <w:r w:rsidR="0023445C">
        <w:rPr>
          <w:sz w:val="24"/>
          <w:szCs w:val="24"/>
        </w:rPr>
        <w:t xml:space="preserve">(Kent) </w:t>
      </w:r>
      <w:r>
        <w:rPr>
          <w:sz w:val="24"/>
          <w:szCs w:val="24"/>
        </w:rPr>
        <w:t xml:space="preserve">offence he was sentenced that same </w:t>
      </w:r>
      <w:r>
        <w:rPr>
          <w:sz w:val="24"/>
          <w:szCs w:val="24"/>
        </w:rPr>
        <w:lastRenderedPageBreak/>
        <w:t>year by Grose J to a further fine of</w:t>
      </w:r>
      <w:r w:rsidR="006D6CD1">
        <w:rPr>
          <w:sz w:val="24"/>
          <w:szCs w:val="24"/>
        </w:rPr>
        <w:t xml:space="preserve"> £500 and 3 months imprisonment at King’s Bench prison</w:t>
      </w:r>
      <w:r w:rsidR="00475464">
        <w:rPr>
          <w:sz w:val="24"/>
          <w:szCs w:val="24"/>
        </w:rPr>
        <w:t>.</w:t>
      </w:r>
      <w:r>
        <w:rPr>
          <w:rStyle w:val="FootnoteReference"/>
          <w:sz w:val="24"/>
          <w:szCs w:val="24"/>
        </w:rPr>
        <w:footnoteReference w:id="52"/>
      </w:r>
    </w:p>
    <w:p w:rsidR="0080149C" w:rsidRPr="0080149C" w:rsidRDefault="0080149C" w:rsidP="0080149C">
      <w:pPr>
        <w:pStyle w:val="ListParagraph"/>
        <w:rPr>
          <w:sz w:val="24"/>
          <w:szCs w:val="24"/>
        </w:rPr>
      </w:pPr>
    </w:p>
    <w:p w:rsidR="002D0E3F" w:rsidRDefault="0080149C" w:rsidP="0052239B">
      <w:pPr>
        <w:pStyle w:val="ListParagraph"/>
        <w:numPr>
          <w:ilvl w:val="0"/>
          <w:numId w:val="11"/>
        </w:numPr>
        <w:spacing w:line="240" w:lineRule="auto"/>
        <w:ind w:left="567" w:hanging="567"/>
        <w:rPr>
          <w:sz w:val="24"/>
          <w:szCs w:val="24"/>
        </w:rPr>
      </w:pPr>
      <w:r>
        <w:rPr>
          <w:sz w:val="24"/>
          <w:szCs w:val="24"/>
        </w:rPr>
        <w:t>Lord Kenyon’s pre-</w:t>
      </w:r>
      <w:r w:rsidR="0023445C">
        <w:rPr>
          <w:sz w:val="24"/>
          <w:szCs w:val="24"/>
        </w:rPr>
        <w:t>judged</w:t>
      </w:r>
      <w:r>
        <w:rPr>
          <w:sz w:val="24"/>
          <w:szCs w:val="24"/>
        </w:rPr>
        <w:t xml:space="preserve"> and somewhat one-sided views of the evidence (for example, he ignored the fact that forward purchases were both common and necessary in the hop trade), led to </w:t>
      </w:r>
      <w:r w:rsidR="002D0E3F">
        <w:rPr>
          <w:sz w:val="24"/>
          <w:szCs w:val="24"/>
        </w:rPr>
        <w:t>later criticism.</w:t>
      </w:r>
      <w:r w:rsidR="0023445C">
        <w:rPr>
          <w:sz w:val="24"/>
          <w:szCs w:val="24"/>
        </w:rPr>
        <w:t xml:space="preserve"> </w:t>
      </w:r>
      <w:r>
        <w:rPr>
          <w:sz w:val="24"/>
          <w:szCs w:val="24"/>
        </w:rPr>
        <w:t xml:space="preserve">Lord Campbell </w:t>
      </w:r>
      <w:r w:rsidR="0023445C">
        <w:rPr>
          <w:sz w:val="24"/>
          <w:szCs w:val="24"/>
        </w:rPr>
        <w:t>called his judgments an “</w:t>
      </w:r>
      <w:r w:rsidR="0023445C" w:rsidRPr="0023445C">
        <w:rPr>
          <w:i/>
          <w:sz w:val="24"/>
          <w:szCs w:val="24"/>
        </w:rPr>
        <w:t>absurd doctrine</w:t>
      </w:r>
      <w:r w:rsidR="0023445C">
        <w:rPr>
          <w:sz w:val="24"/>
          <w:szCs w:val="24"/>
        </w:rPr>
        <w:t>” about an “</w:t>
      </w:r>
      <w:r w:rsidR="0023445C" w:rsidRPr="0023445C">
        <w:rPr>
          <w:i/>
          <w:sz w:val="24"/>
          <w:szCs w:val="24"/>
        </w:rPr>
        <w:t>imaginary crime</w:t>
      </w:r>
      <w:r w:rsidR="0023445C">
        <w:rPr>
          <w:sz w:val="24"/>
          <w:szCs w:val="24"/>
        </w:rPr>
        <w:t>.”</w:t>
      </w:r>
      <w:r w:rsidR="0023445C">
        <w:rPr>
          <w:rStyle w:val="FootnoteReference"/>
          <w:sz w:val="24"/>
          <w:szCs w:val="24"/>
        </w:rPr>
        <w:footnoteReference w:id="53"/>
      </w:r>
      <w:r w:rsidR="0023445C">
        <w:rPr>
          <w:sz w:val="24"/>
          <w:szCs w:val="24"/>
        </w:rPr>
        <w:t xml:space="preserve"> </w:t>
      </w:r>
      <w:r w:rsidR="008E3C9A">
        <w:rPr>
          <w:sz w:val="24"/>
          <w:szCs w:val="24"/>
        </w:rPr>
        <w:t xml:space="preserve"> </w:t>
      </w:r>
      <w:r w:rsidR="00475464">
        <w:rPr>
          <w:sz w:val="24"/>
          <w:szCs w:val="24"/>
        </w:rPr>
        <w:t xml:space="preserve"> His encouragement of such prosecutions was also thought to be “</w:t>
      </w:r>
      <w:r w:rsidR="00475464" w:rsidRPr="00475464">
        <w:rPr>
          <w:i/>
          <w:sz w:val="24"/>
          <w:szCs w:val="24"/>
        </w:rPr>
        <w:t>a genteel sanction for the food riots</w:t>
      </w:r>
      <w:r w:rsidR="00475464">
        <w:rPr>
          <w:sz w:val="24"/>
          <w:szCs w:val="24"/>
        </w:rPr>
        <w:t>” in London.</w:t>
      </w:r>
      <w:r w:rsidR="00475464">
        <w:rPr>
          <w:rStyle w:val="FootnoteReference"/>
          <w:sz w:val="24"/>
          <w:szCs w:val="24"/>
        </w:rPr>
        <w:footnoteReference w:id="54"/>
      </w:r>
      <w:r w:rsidR="00475464">
        <w:rPr>
          <w:sz w:val="24"/>
          <w:szCs w:val="24"/>
        </w:rPr>
        <w:t xml:space="preserve"> There was some justification for that concern. </w:t>
      </w:r>
      <w:r w:rsidR="00A87591">
        <w:rPr>
          <w:sz w:val="24"/>
          <w:szCs w:val="24"/>
        </w:rPr>
        <w:t xml:space="preserve">Lord Kenyon’s other major case was that of </w:t>
      </w:r>
      <w:r w:rsidR="00475464">
        <w:rPr>
          <w:sz w:val="24"/>
          <w:szCs w:val="24"/>
        </w:rPr>
        <w:t xml:space="preserve">Thomas </w:t>
      </w:r>
      <w:proofErr w:type="spellStart"/>
      <w:r w:rsidR="00475464">
        <w:rPr>
          <w:sz w:val="24"/>
          <w:szCs w:val="24"/>
        </w:rPr>
        <w:t>Rusby</w:t>
      </w:r>
      <w:proofErr w:type="spellEnd"/>
      <w:r w:rsidR="00475464">
        <w:rPr>
          <w:sz w:val="24"/>
          <w:szCs w:val="24"/>
        </w:rPr>
        <w:t xml:space="preserve"> </w:t>
      </w:r>
      <w:r w:rsidR="00A87591">
        <w:rPr>
          <w:sz w:val="24"/>
          <w:szCs w:val="24"/>
        </w:rPr>
        <w:t xml:space="preserve">who was </w:t>
      </w:r>
      <w:r w:rsidR="00475464">
        <w:rPr>
          <w:sz w:val="24"/>
          <w:szCs w:val="24"/>
        </w:rPr>
        <w:t xml:space="preserve">prosecuted for </w:t>
      </w:r>
      <w:proofErr w:type="spellStart"/>
      <w:r w:rsidR="00475464">
        <w:rPr>
          <w:sz w:val="24"/>
          <w:szCs w:val="24"/>
        </w:rPr>
        <w:t>regrating</w:t>
      </w:r>
      <w:proofErr w:type="spellEnd"/>
      <w:r w:rsidR="00475464">
        <w:rPr>
          <w:sz w:val="24"/>
          <w:szCs w:val="24"/>
        </w:rPr>
        <w:t xml:space="preserve"> </w:t>
      </w:r>
      <w:r w:rsidR="002D0E3F">
        <w:rPr>
          <w:sz w:val="24"/>
          <w:szCs w:val="24"/>
        </w:rPr>
        <w:t>oats</w:t>
      </w:r>
      <w:r w:rsidR="00475464">
        <w:rPr>
          <w:sz w:val="24"/>
          <w:szCs w:val="24"/>
        </w:rPr>
        <w:t xml:space="preserve"> at the Corn Exchange in London in 1799, and convicted</w:t>
      </w:r>
      <w:r w:rsidR="0000743E">
        <w:rPr>
          <w:sz w:val="24"/>
          <w:szCs w:val="24"/>
        </w:rPr>
        <w:t xml:space="preserve"> in July shortly before Waddington’s trial</w:t>
      </w:r>
      <w:r w:rsidR="00A87591">
        <w:rPr>
          <w:sz w:val="24"/>
          <w:szCs w:val="24"/>
        </w:rPr>
        <w:t xml:space="preserve">. Lord Kenyon at the </w:t>
      </w:r>
      <w:r w:rsidR="002D0E3F">
        <w:rPr>
          <w:sz w:val="24"/>
          <w:szCs w:val="24"/>
        </w:rPr>
        <w:t>trial judge blamed speculators for a 50% increase in the price and asked the jurors to establish a precedent to end the afflictions of the poor.</w:t>
      </w:r>
      <w:r w:rsidR="002D0E3F">
        <w:rPr>
          <w:rStyle w:val="FootnoteReference"/>
          <w:sz w:val="24"/>
          <w:szCs w:val="24"/>
        </w:rPr>
        <w:footnoteReference w:id="55"/>
      </w:r>
      <w:r w:rsidR="002D0E3F">
        <w:rPr>
          <w:sz w:val="24"/>
          <w:szCs w:val="24"/>
        </w:rPr>
        <w:t xml:space="preserve"> It was perhaps not wholly surprising that in the September food riots, </w:t>
      </w:r>
      <w:r w:rsidR="00524150">
        <w:rPr>
          <w:sz w:val="24"/>
          <w:szCs w:val="24"/>
        </w:rPr>
        <w:t xml:space="preserve">the London mob tried to lynch </w:t>
      </w:r>
      <w:proofErr w:type="spellStart"/>
      <w:r w:rsidR="00524150">
        <w:rPr>
          <w:sz w:val="24"/>
          <w:szCs w:val="24"/>
        </w:rPr>
        <w:t>Rusby</w:t>
      </w:r>
      <w:proofErr w:type="spellEnd"/>
      <w:r w:rsidR="00524150">
        <w:rPr>
          <w:sz w:val="24"/>
          <w:szCs w:val="24"/>
        </w:rPr>
        <w:t xml:space="preserve"> and gutted his</w:t>
      </w:r>
      <w:r w:rsidR="002D0E3F">
        <w:rPr>
          <w:sz w:val="24"/>
          <w:szCs w:val="24"/>
        </w:rPr>
        <w:t xml:space="preserve"> home. </w:t>
      </w:r>
      <w:r w:rsidR="00524150">
        <w:rPr>
          <w:rStyle w:val="FootnoteReference"/>
          <w:sz w:val="24"/>
          <w:szCs w:val="24"/>
        </w:rPr>
        <w:footnoteReference w:id="56"/>
      </w:r>
    </w:p>
    <w:p w:rsidR="002D0E3F" w:rsidRPr="002D0E3F" w:rsidRDefault="002D0E3F" w:rsidP="002D0E3F">
      <w:pPr>
        <w:pStyle w:val="ListParagraph"/>
        <w:rPr>
          <w:sz w:val="24"/>
          <w:szCs w:val="24"/>
        </w:rPr>
      </w:pPr>
    </w:p>
    <w:p w:rsidR="000A7F1A" w:rsidRDefault="00A87591" w:rsidP="0052239B">
      <w:pPr>
        <w:pStyle w:val="ListParagraph"/>
        <w:numPr>
          <w:ilvl w:val="0"/>
          <w:numId w:val="11"/>
        </w:numPr>
        <w:spacing w:line="240" w:lineRule="auto"/>
        <w:ind w:left="567" w:hanging="567"/>
        <w:rPr>
          <w:sz w:val="24"/>
          <w:szCs w:val="24"/>
        </w:rPr>
      </w:pPr>
      <w:proofErr w:type="spellStart"/>
      <w:r>
        <w:rPr>
          <w:sz w:val="24"/>
          <w:szCs w:val="24"/>
        </w:rPr>
        <w:t>Rusby</w:t>
      </w:r>
      <w:proofErr w:type="spellEnd"/>
      <w:r>
        <w:rPr>
          <w:sz w:val="24"/>
          <w:szCs w:val="24"/>
        </w:rPr>
        <w:t xml:space="preserve"> sought a retrial which was granted.  </w:t>
      </w:r>
      <w:r w:rsidR="000A7F1A">
        <w:rPr>
          <w:sz w:val="24"/>
          <w:szCs w:val="24"/>
        </w:rPr>
        <w:t xml:space="preserve">At </w:t>
      </w:r>
      <w:r>
        <w:rPr>
          <w:sz w:val="24"/>
          <w:szCs w:val="24"/>
        </w:rPr>
        <w:t xml:space="preserve">the </w:t>
      </w:r>
      <w:r w:rsidR="000A7F1A">
        <w:rPr>
          <w:sz w:val="24"/>
          <w:szCs w:val="24"/>
        </w:rPr>
        <w:t xml:space="preserve">retrial it was argued that </w:t>
      </w:r>
      <w:proofErr w:type="spellStart"/>
      <w:r w:rsidR="000A7F1A">
        <w:rPr>
          <w:sz w:val="24"/>
          <w:szCs w:val="24"/>
        </w:rPr>
        <w:t>regrating</w:t>
      </w:r>
      <w:proofErr w:type="spellEnd"/>
      <w:r w:rsidR="000A7F1A">
        <w:rPr>
          <w:sz w:val="24"/>
          <w:szCs w:val="24"/>
        </w:rPr>
        <w:t xml:space="preserve"> had never existed outside of statute law. The court was divided. It never reached a decision. </w:t>
      </w:r>
      <w:r w:rsidR="00B42981">
        <w:rPr>
          <w:sz w:val="24"/>
          <w:szCs w:val="24"/>
        </w:rPr>
        <w:t>Lord Kenyon retired in 1802. In 1804</w:t>
      </w:r>
      <w:r w:rsidR="000A7F1A">
        <w:rPr>
          <w:sz w:val="24"/>
          <w:szCs w:val="24"/>
        </w:rPr>
        <w:t xml:space="preserve"> </w:t>
      </w:r>
      <w:proofErr w:type="spellStart"/>
      <w:r w:rsidR="00B42981">
        <w:rPr>
          <w:sz w:val="24"/>
          <w:szCs w:val="24"/>
        </w:rPr>
        <w:t>Rusby’s</w:t>
      </w:r>
      <w:proofErr w:type="spellEnd"/>
      <w:r w:rsidR="00B42981">
        <w:rPr>
          <w:sz w:val="24"/>
          <w:szCs w:val="24"/>
        </w:rPr>
        <w:t xml:space="preserve"> </w:t>
      </w:r>
      <w:r w:rsidR="000A7F1A">
        <w:rPr>
          <w:sz w:val="24"/>
          <w:szCs w:val="24"/>
        </w:rPr>
        <w:t xml:space="preserve">prosecution was discharged. Other pending prosecutions were </w:t>
      </w:r>
      <w:r>
        <w:rPr>
          <w:sz w:val="24"/>
          <w:szCs w:val="24"/>
        </w:rPr>
        <w:t xml:space="preserve">also </w:t>
      </w:r>
      <w:r w:rsidR="000A7F1A">
        <w:rPr>
          <w:sz w:val="24"/>
          <w:szCs w:val="24"/>
        </w:rPr>
        <w:t>dropped.</w:t>
      </w:r>
    </w:p>
    <w:p w:rsidR="00B42981" w:rsidRPr="00B42981" w:rsidRDefault="00B42981" w:rsidP="00B42981">
      <w:pPr>
        <w:pStyle w:val="ListParagraph"/>
        <w:rPr>
          <w:sz w:val="24"/>
          <w:szCs w:val="24"/>
        </w:rPr>
      </w:pPr>
    </w:p>
    <w:p w:rsidR="00B42981" w:rsidRDefault="00B42981" w:rsidP="0052239B">
      <w:pPr>
        <w:pStyle w:val="ListParagraph"/>
        <w:numPr>
          <w:ilvl w:val="0"/>
          <w:numId w:val="11"/>
        </w:numPr>
        <w:spacing w:line="240" w:lineRule="auto"/>
        <w:ind w:left="567" w:hanging="567"/>
        <w:rPr>
          <w:sz w:val="24"/>
          <w:szCs w:val="24"/>
        </w:rPr>
      </w:pPr>
      <w:r>
        <w:rPr>
          <w:sz w:val="24"/>
          <w:szCs w:val="24"/>
        </w:rPr>
        <w:t xml:space="preserve">One of </w:t>
      </w:r>
      <w:r w:rsidRPr="00B42981">
        <w:rPr>
          <w:sz w:val="24"/>
          <w:szCs w:val="24"/>
        </w:rPr>
        <w:t xml:space="preserve">Waddington’s barristers (he had seven) was Edward Law, who </w:t>
      </w:r>
      <w:r w:rsidR="00B152D7">
        <w:rPr>
          <w:sz w:val="24"/>
          <w:szCs w:val="24"/>
        </w:rPr>
        <w:t>had acted for Warren Hastings. Law sought to argue</w:t>
      </w:r>
      <w:r w:rsidRPr="00B42981">
        <w:rPr>
          <w:sz w:val="24"/>
          <w:szCs w:val="24"/>
        </w:rPr>
        <w:t xml:space="preserve"> the wisdom o</w:t>
      </w:r>
      <w:r w:rsidR="00B152D7">
        <w:rPr>
          <w:sz w:val="24"/>
          <w:szCs w:val="24"/>
        </w:rPr>
        <w:t>f the market before Lord Kenyon,</w:t>
      </w:r>
      <w:r w:rsidRPr="00B42981">
        <w:rPr>
          <w:sz w:val="24"/>
          <w:szCs w:val="24"/>
        </w:rPr>
        <w:t xml:space="preserve"> </w:t>
      </w:r>
      <w:r w:rsidR="00B152D7">
        <w:rPr>
          <w:sz w:val="24"/>
          <w:szCs w:val="24"/>
        </w:rPr>
        <w:lastRenderedPageBreak/>
        <w:t xml:space="preserve">and they </w:t>
      </w:r>
      <w:r w:rsidRPr="00B42981">
        <w:rPr>
          <w:sz w:val="24"/>
          <w:szCs w:val="24"/>
        </w:rPr>
        <w:t xml:space="preserve">repeatedly </w:t>
      </w:r>
      <w:r w:rsidR="00B152D7">
        <w:rPr>
          <w:sz w:val="24"/>
          <w:szCs w:val="24"/>
        </w:rPr>
        <w:t xml:space="preserve">clashed </w:t>
      </w:r>
      <w:r w:rsidRPr="00B42981">
        <w:rPr>
          <w:sz w:val="24"/>
          <w:szCs w:val="24"/>
        </w:rPr>
        <w:t>during Waddington’s trial.</w:t>
      </w:r>
      <w:r w:rsidR="00B152D7" w:rsidRPr="00B152D7">
        <w:rPr>
          <w:rStyle w:val="FootnoteReference"/>
          <w:sz w:val="24"/>
          <w:szCs w:val="24"/>
        </w:rPr>
        <w:t xml:space="preserve"> </w:t>
      </w:r>
      <w:r w:rsidR="00B152D7" w:rsidRPr="00B42981">
        <w:rPr>
          <w:rStyle w:val="FootnoteReference"/>
          <w:sz w:val="24"/>
          <w:szCs w:val="24"/>
        </w:rPr>
        <w:footnoteReference w:id="57"/>
      </w:r>
      <w:r w:rsidRPr="00B42981">
        <w:rPr>
          <w:sz w:val="24"/>
          <w:szCs w:val="24"/>
        </w:rPr>
        <w:t xml:space="preserve">  Within a</w:t>
      </w:r>
      <w:r w:rsidR="00B152D7">
        <w:rPr>
          <w:sz w:val="24"/>
          <w:szCs w:val="24"/>
        </w:rPr>
        <w:t xml:space="preserve"> few days of the verdict Law</w:t>
      </w:r>
      <w:r w:rsidRPr="00B42981">
        <w:rPr>
          <w:sz w:val="24"/>
          <w:szCs w:val="24"/>
        </w:rPr>
        <w:t xml:space="preserve"> was made Attorney-General.  When L</w:t>
      </w:r>
      <w:r w:rsidR="00B152D7">
        <w:rPr>
          <w:sz w:val="24"/>
          <w:szCs w:val="24"/>
        </w:rPr>
        <w:t>ord Kenyon retired in 1802, Law</w:t>
      </w:r>
      <w:r w:rsidRPr="00B42981">
        <w:rPr>
          <w:sz w:val="24"/>
          <w:szCs w:val="24"/>
        </w:rPr>
        <w:t xml:space="preserve"> succeeded him as Chief Justice as Lord Ellenborough.</w:t>
      </w:r>
      <w:r>
        <w:rPr>
          <w:sz w:val="24"/>
          <w:szCs w:val="24"/>
        </w:rPr>
        <w:t xml:space="preserve">  Hay argues with some force that </w:t>
      </w:r>
      <w:r w:rsidR="00F26A46">
        <w:rPr>
          <w:sz w:val="24"/>
          <w:szCs w:val="24"/>
        </w:rPr>
        <w:t xml:space="preserve">once </w:t>
      </w:r>
      <w:r>
        <w:rPr>
          <w:sz w:val="24"/>
          <w:szCs w:val="24"/>
        </w:rPr>
        <w:t xml:space="preserve">Lord Ellenborough </w:t>
      </w:r>
      <w:r w:rsidR="00F26A46">
        <w:rPr>
          <w:sz w:val="24"/>
          <w:szCs w:val="24"/>
        </w:rPr>
        <w:t xml:space="preserve">was on the Bench it was realised that no convictions </w:t>
      </w:r>
      <w:r w:rsidR="00B152D7">
        <w:rPr>
          <w:sz w:val="24"/>
          <w:szCs w:val="24"/>
        </w:rPr>
        <w:t xml:space="preserve">for forestalling </w:t>
      </w:r>
      <w:r w:rsidR="00F26A46">
        <w:rPr>
          <w:sz w:val="24"/>
          <w:szCs w:val="24"/>
        </w:rPr>
        <w:t>could be had or would stand re-examination</w:t>
      </w:r>
      <w:r>
        <w:rPr>
          <w:sz w:val="24"/>
          <w:szCs w:val="24"/>
        </w:rPr>
        <w:t>.</w:t>
      </w:r>
      <w:r>
        <w:rPr>
          <w:rStyle w:val="FootnoteReference"/>
          <w:sz w:val="24"/>
          <w:szCs w:val="24"/>
        </w:rPr>
        <w:footnoteReference w:id="58"/>
      </w:r>
    </w:p>
    <w:p w:rsidR="000A7F1A" w:rsidRPr="000A7F1A" w:rsidRDefault="000A7F1A" w:rsidP="000A7F1A">
      <w:pPr>
        <w:pStyle w:val="ListParagraph"/>
        <w:rPr>
          <w:sz w:val="24"/>
          <w:szCs w:val="24"/>
        </w:rPr>
      </w:pPr>
    </w:p>
    <w:p w:rsidR="002D0E3F" w:rsidRDefault="000A7F1A" w:rsidP="0052239B">
      <w:pPr>
        <w:pStyle w:val="ListParagraph"/>
        <w:numPr>
          <w:ilvl w:val="0"/>
          <w:numId w:val="11"/>
        </w:numPr>
        <w:spacing w:line="240" w:lineRule="auto"/>
        <w:ind w:left="567" w:hanging="567"/>
        <w:rPr>
          <w:sz w:val="24"/>
          <w:szCs w:val="24"/>
        </w:rPr>
      </w:pPr>
      <w:r>
        <w:rPr>
          <w:sz w:val="24"/>
          <w:szCs w:val="24"/>
        </w:rPr>
        <w:t xml:space="preserve">However, </w:t>
      </w:r>
      <w:r w:rsidRPr="000A7F1A">
        <w:rPr>
          <w:i/>
          <w:sz w:val="24"/>
          <w:szCs w:val="24"/>
        </w:rPr>
        <w:t>Waddington</w:t>
      </w:r>
      <w:r w:rsidR="00E627BC">
        <w:rPr>
          <w:rStyle w:val="FootnoteReference"/>
          <w:i/>
          <w:sz w:val="24"/>
          <w:szCs w:val="24"/>
        </w:rPr>
        <w:footnoteReference w:id="59"/>
      </w:r>
      <w:r>
        <w:rPr>
          <w:sz w:val="24"/>
          <w:szCs w:val="24"/>
        </w:rPr>
        <w:t xml:space="preserve"> remained </w:t>
      </w:r>
      <w:r w:rsidR="00A87591">
        <w:rPr>
          <w:sz w:val="24"/>
          <w:szCs w:val="24"/>
        </w:rPr>
        <w:t xml:space="preserve">the </w:t>
      </w:r>
      <w:r>
        <w:rPr>
          <w:sz w:val="24"/>
          <w:szCs w:val="24"/>
        </w:rPr>
        <w:t>law</w:t>
      </w:r>
      <w:r w:rsidR="00350837">
        <w:rPr>
          <w:sz w:val="24"/>
          <w:szCs w:val="24"/>
        </w:rPr>
        <w:t xml:space="preserve"> insofar as it asserted the continued existence of the common law offences. Chitty thought that any subsequent successful prosecution would have to show</w:t>
      </w:r>
      <w:r>
        <w:rPr>
          <w:sz w:val="24"/>
          <w:szCs w:val="24"/>
        </w:rPr>
        <w:t xml:space="preserve"> </w:t>
      </w:r>
      <w:r w:rsidR="00350837">
        <w:rPr>
          <w:sz w:val="24"/>
          <w:szCs w:val="24"/>
        </w:rPr>
        <w:t xml:space="preserve">not only </w:t>
      </w:r>
      <w:proofErr w:type="spellStart"/>
      <w:r w:rsidR="00350837" w:rsidRPr="00350837">
        <w:rPr>
          <w:i/>
          <w:sz w:val="24"/>
          <w:szCs w:val="24"/>
        </w:rPr>
        <w:t>mens</w:t>
      </w:r>
      <w:proofErr w:type="spellEnd"/>
      <w:r w:rsidR="00350837" w:rsidRPr="00350837">
        <w:rPr>
          <w:i/>
          <w:sz w:val="24"/>
          <w:szCs w:val="24"/>
        </w:rPr>
        <w:t xml:space="preserve"> rea</w:t>
      </w:r>
      <w:r w:rsidR="00350837">
        <w:rPr>
          <w:sz w:val="24"/>
          <w:szCs w:val="24"/>
        </w:rPr>
        <w:t xml:space="preserve"> but that actual harm had resulted.</w:t>
      </w:r>
      <w:r w:rsidR="00350837">
        <w:rPr>
          <w:rStyle w:val="FootnoteReference"/>
          <w:sz w:val="24"/>
          <w:szCs w:val="24"/>
        </w:rPr>
        <w:footnoteReference w:id="60"/>
      </w:r>
      <w:r w:rsidR="00350837">
        <w:rPr>
          <w:sz w:val="24"/>
          <w:szCs w:val="24"/>
        </w:rPr>
        <w:t xml:space="preserve"> </w:t>
      </w:r>
      <w:r w:rsidR="00350837" w:rsidRPr="00E627BC">
        <w:rPr>
          <w:i/>
          <w:sz w:val="24"/>
          <w:szCs w:val="24"/>
        </w:rPr>
        <w:t>Waddington</w:t>
      </w:r>
      <w:r w:rsidR="00350837">
        <w:rPr>
          <w:sz w:val="24"/>
          <w:szCs w:val="24"/>
        </w:rPr>
        <w:t xml:space="preserve"> also appeared fully reported in Burn’s </w:t>
      </w:r>
      <w:r w:rsidR="00350837" w:rsidRPr="00350837">
        <w:rPr>
          <w:i/>
          <w:sz w:val="24"/>
          <w:szCs w:val="24"/>
        </w:rPr>
        <w:t>Justice of the Peace</w:t>
      </w:r>
      <w:r w:rsidR="00350837">
        <w:rPr>
          <w:sz w:val="24"/>
          <w:szCs w:val="24"/>
        </w:rPr>
        <w:t xml:space="preserve"> in 1805</w:t>
      </w:r>
      <w:r w:rsidR="00350837">
        <w:rPr>
          <w:rStyle w:val="FootnoteReference"/>
          <w:sz w:val="24"/>
          <w:szCs w:val="24"/>
        </w:rPr>
        <w:footnoteReference w:id="61"/>
      </w:r>
      <w:r w:rsidR="00350837">
        <w:rPr>
          <w:sz w:val="24"/>
          <w:szCs w:val="24"/>
        </w:rPr>
        <w:t xml:space="preserve">, although in later </w:t>
      </w:r>
      <w:r w:rsidR="003E21F3">
        <w:rPr>
          <w:sz w:val="24"/>
          <w:szCs w:val="24"/>
        </w:rPr>
        <w:t>editions</w:t>
      </w:r>
      <w:r w:rsidR="00350837">
        <w:rPr>
          <w:sz w:val="24"/>
          <w:szCs w:val="24"/>
        </w:rPr>
        <w:t xml:space="preserve"> the references were truncated.  </w:t>
      </w:r>
      <w:r w:rsidR="00707FBB">
        <w:rPr>
          <w:sz w:val="24"/>
          <w:szCs w:val="24"/>
        </w:rPr>
        <w:t xml:space="preserve">All </w:t>
      </w:r>
      <w:r w:rsidR="00350837">
        <w:rPr>
          <w:sz w:val="24"/>
          <w:szCs w:val="24"/>
        </w:rPr>
        <w:t xml:space="preserve">three offences were regularly cited in the early editions of </w:t>
      </w:r>
      <w:proofErr w:type="spellStart"/>
      <w:r w:rsidR="00350837">
        <w:rPr>
          <w:sz w:val="24"/>
          <w:szCs w:val="24"/>
        </w:rPr>
        <w:t>Archbold</w:t>
      </w:r>
      <w:proofErr w:type="spellEnd"/>
      <w:r w:rsidR="00350837">
        <w:rPr>
          <w:sz w:val="24"/>
          <w:szCs w:val="24"/>
        </w:rPr>
        <w:t xml:space="preserve"> </w:t>
      </w:r>
      <w:r w:rsidR="00F26A46">
        <w:rPr>
          <w:i/>
          <w:sz w:val="24"/>
          <w:szCs w:val="24"/>
        </w:rPr>
        <w:t>Criminal P</w:t>
      </w:r>
      <w:r w:rsidR="00350837" w:rsidRPr="00350837">
        <w:rPr>
          <w:i/>
          <w:sz w:val="24"/>
          <w:szCs w:val="24"/>
        </w:rPr>
        <w:t>leadings</w:t>
      </w:r>
      <w:r w:rsidR="00F26A46">
        <w:rPr>
          <w:i/>
          <w:sz w:val="24"/>
          <w:szCs w:val="24"/>
        </w:rPr>
        <w:t xml:space="preserve"> </w:t>
      </w:r>
      <w:r w:rsidR="00A87591">
        <w:rPr>
          <w:sz w:val="24"/>
          <w:szCs w:val="24"/>
        </w:rPr>
        <w:t xml:space="preserve">which referred to </w:t>
      </w:r>
      <w:r w:rsidR="00F26A46">
        <w:rPr>
          <w:i/>
          <w:sz w:val="24"/>
          <w:szCs w:val="24"/>
        </w:rPr>
        <w:t>Waddington</w:t>
      </w:r>
      <w:r w:rsidR="00E627BC">
        <w:rPr>
          <w:i/>
          <w:sz w:val="24"/>
          <w:szCs w:val="24"/>
        </w:rPr>
        <w:t>.</w:t>
      </w:r>
      <w:r w:rsidR="00E627BC" w:rsidRPr="00556AD5">
        <w:rPr>
          <w:vertAlign w:val="superscript"/>
        </w:rPr>
        <w:footnoteReference w:id="62"/>
      </w:r>
      <w:r w:rsidR="00E627BC">
        <w:rPr>
          <w:i/>
          <w:sz w:val="24"/>
          <w:szCs w:val="24"/>
        </w:rPr>
        <w:t xml:space="preserve"> </w:t>
      </w:r>
    </w:p>
    <w:p w:rsidR="006D6CD1" w:rsidRDefault="006D6CD1" w:rsidP="006D6CD1">
      <w:pPr>
        <w:pStyle w:val="ListParagraph"/>
        <w:rPr>
          <w:i/>
          <w:sz w:val="24"/>
          <w:szCs w:val="24"/>
        </w:rPr>
      </w:pPr>
    </w:p>
    <w:p w:rsidR="00E627BC" w:rsidRDefault="00E627BC" w:rsidP="00F26A46">
      <w:pPr>
        <w:pStyle w:val="ASQC"/>
      </w:pPr>
      <w:r w:rsidRPr="000A7F1A">
        <w:t xml:space="preserve">In 1824 some 14 statutes which had also outlawed combinations by workmen, including the </w:t>
      </w:r>
      <w:r w:rsidRPr="000A7F1A">
        <w:rPr>
          <w:i/>
          <w:iCs/>
        </w:rPr>
        <w:t>Combination of Workmen Act</w:t>
      </w:r>
      <w:r w:rsidRPr="000A7F1A">
        <w:t xml:space="preserve"> 1800 which had made it a criminal offence for workmen to combine to secure higher wages, shorter working hours, or to control their employers in the conduct or management of their business were repealed. The Act also repealed the </w:t>
      </w:r>
      <w:r w:rsidRPr="000A7F1A">
        <w:rPr>
          <w:i/>
          <w:iCs/>
        </w:rPr>
        <w:t>Bill of Conspiracies of Victuallers and Craftsmen</w:t>
      </w:r>
      <w:r w:rsidRPr="000A7F1A">
        <w:t xml:space="preserve"> </w:t>
      </w:r>
      <w:r w:rsidRPr="000A7F1A">
        <w:rPr>
          <w:i/>
          <w:iCs/>
        </w:rPr>
        <w:t>1548</w:t>
      </w:r>
      <w:r w:rsidRPr="000A7F1A">
        <w:t xml:space="preserve"> which had been directed against those who "</w:t>
      </w:r>
      <w:r w:rsidRPr="000A7F1A">
        <w:rPr>
          <w:i/>
          <w:iCs/>
        </w:rPr>
        <w:t>conspired and covenanted together to sell their victuals at unreasonable prices</w:t>
      </w:r>
      <w:r w:rsidRPr="000A7F1A">
        <w:t>."</w:t>
      </w:r>
    </w:p>
    <w:p w:rsidR="00F26A46" w:rsidRDefault="00F26A46" w:rsidP="00F26A46">
      <w:pPr>
        <w:pStyle w:val="ASQC"/>
        <w:numPr>
          <w:ilvl w:val="0"/>
          <w:numId w:val="0"/>
        </w:numPr>
        <w:ind w:left="567"/>
      </w:pPr>
    </w:p>
    <w:p w:rsidR="00E627BC" w:rsidRDefault="00E627BC" w:rsidP="00E627BC">
      <w:pPr>
        <w:pStyle w:val="ASQC"/>
      </w:pPr>
      <w:r>
        <w:rPr>
          <w:rFonts w:ascii="Calibri" w:hAnsi="Calibri"/>
        </w:rPr>
        <w:t xml:space="preserve">The </w:t>
      </w:r>
      <w:r w:rsidR="00F26A46">
        <w:rPr>
          <w:rFonts w:ascii="Calibri" w:hAnsi="Calibri"/>
        </w:rPr>
        <w:t xml:space="preserve">common law </w:t>
      </w:r>
      <w:r>
        <w:rPr>
          <w:rFonts w:ascii="Calibri" w:hAnsi="Calibri"/>
        </w:rPr>
        <w:t xml:space="preserve">offences </w:t>
      </w:r>
      <w:r w:rsidRPr="00522AFC">
        <w:rPr>
          <w:rFonts w:ascii="Calibri" w:hAnsi="Calibri"/>
        </w:rPr>
        <w:t xml:space="preserve">were finally abolished by the </w:t>
      </w:r>
      <w:r w:rsidRPr="00522AFC">
        <w:rPr>
          <w:rFonts w:ascii="Calibri" w:hAnsi="Calibri" w:cs="Times New Roman"/>
          <w:i/>
        </w:rPr>
        <w:t xml:space="preserve">Forestalling, </w:t>
      </w:r>
      <w:proofErr w:type="spellStart"/>
      <w:r w:rsidRPr="00522AFC">
        <w:rPr>
          <w:rFonts w:ascii="Calibri" w:hAnsi="Calibri" w:cs="Times New Roman"/>
          <w:i/>
        </w:rPr>
        <w:t>Regrating</w:t>
      </w:r>
      <w:proofErr w:type="spellEnd"/>
      <w:r w:rsidRPr="00522AFC">
        <w:rPr>
          <w:rFonts w:ascii="Calibri" w:hAnsi="Calibri" w:cs="Times New Roman"/>
          <w:i/>
        </w:rPr>
        <w:t xml:space="preserve"> </w:t>
      </w:r>
      <w:proofErr w:type="spellStart"/>
      <w:r w:rsidRPr="00522AFC">
        <w:rPr>
          <w:rFonts w:ascii="Calibri" w:hAnsi="Calibri" w:cs="Times New Roman"/>
          <w:i/>
        </w:rPr>
        <w:t>etc</w:t>
      </w:r>
      <w:proofErr w:type="spellEnd"/>
      <w:r w:rsidRPr="00522AFC">
        <w:rPr>
          <w:rFonts w:ascii="Calibri" w:hAnsi="Calibri" w:cs="Times New Roman"/>
          <w:i/>
        </w:rPr>
        <w:t xml:space="preserve"> Act</w:t>
      </w:r>
      <w:r w:rsidRPr="00522AFC">
        <w:rPr>
          <w:rFonts w:ascii="Calibri" w:hAnsi="Calibri" w:cs="Times New Roman"/>
        </w:rPr>
        <w:t xml:space="preserve"> 1844</w:t>
      </w:r>
      <w:r w:rsidRPr="00522AFC">
        <w:rPr>
          <w:rFonts w:ascii="Calibri" w:hAnsi="Calibri"/>
        </w:rPr>
        <w:t>.</w:t>
      </w:r>
      <w:r w:rsidRPr="00556AD5">
        <w:rPr>
          <w:rStyle w:val="FootnoteReference"/>
        </w:rPr>
        <w:footnoteReference w:id="63"/>
      </w:r>
      <w:r w:rsidRPr="007945C7">
        <w:t xml:space="preserve"> However, </w:t>
      </w:r>
      <w:r>
        <w:t>forestalling was preserved in part.</w:t>
      </w:r>
      <w:r w:rsidRPr="007945C7">
        <w:t xml:space="preserve">  Section 4 </w:t>
      </w:r>
      <w:r>
        <w:t xml:space="preserve">of the Act </w:t>
      </w:r>
      <w:r w:rsidRPr="007945C7">
        <w:t>stated that nothing in its provisions should apply "</w:t>
      </w:r>
      <w:r w:rsidRPr="00E627BC">
        <w:rPr>
          <w:i/>
        </w:rPr>
        <w:t>to the offence of knowingly and fraudulently spreading or conspiring to spread any false rumour with intent to enhance or decry the price of any goods or merchandise, or to the offence of preventing or endeavouring to prevent by force or threats any goods, wares or merchandise being brought to any fair or market, but that every offence may be inquired of, tried and punished as if this act had not been passed</w:t>
      </w:r>
      <w:r w:rsidRPr="007945C7">
        <w:t>."</w:t>
      </w:r>
    </w:p>
    <w:p w:rsidR="00F26A46" w:rsidRDefault="00F26A46" w:rsidP="00F26A46">
      <w:pPr>
        <w:pStyle w:val="ASQC"/>
        <w:numPr>
          <w:ilvl w:val="0"/>
          <w:numId w:val="0"/>
        </w:numPr>
        <w:ind w:left="567"/>
      </w:pPr>
    </w:p>
    <w:p w:rsidR="00F26A46" w:rsidRPr="007945C7" w:rsidRDefault="00F26A46" w:rsidP="00E627BC">
      <w:pPr>
        <w:pStyle w:val="ASQC"/>
      </w:pPr>
      <w:r>
        <w:t>The first part of the proviso “</w:t>
      </w:r>
      <w:r w:rsidRPr="00E627BC">
        <w:rPr>
          <w:i/>
        </w:rPr>
        <w:t>conspiring to spread any false rumour with intent to enhance or decry the price of any goods or merchandise</w:t>
      </w:r>
      <w:r>
        <w:rPr>
          <w:i/>
        </w:rPr>
        <w:t xml:space="preserve">” </w:t>
      </w:r>
      <w:r>
        <w:t xml:space="preserve">reflected the old text books and early case law.  </w:t>
      </w:r>
      <w:r w:rsidRPr="00640D60">
        <w:t xml:space="preserve">As long ago as 1369 a Lombard </w:t>
      </w:r>
      <w:r>
        <w:t xml:space="preserve">had been convicted in London </w:t>
      </w:r>
      <w:r w:rsidRPr="00640D60">
        <w:t>of forestalling</w:t>
      </w:r>
      <w:r>
        <w:t>,</w:t>
      </w:r>
      <w:r w:rsidRPr="00640D60">
        <w:t xml:space="preserve"> by practising words to enhance the price of wool (i.e. spreading false rumours) that there were wars in foreign parts so that no wool could “pass the sea” next year</w:t>
      </w:r>
      <w:r>
        <w:t>.</w:t>
      </w:r>
      <w:r w:rsidR="00DB6AA5">
        <w:rPr>
          <w:rStyle w:val="FootnoteReference"/>
        </w:rPr>
        <w:footnoteReference w:id="64"/>
      </w:r>
      <w:r>
        <w:t xml:space="preserve">   Jenkins reports a case in 1620 where false rumours were spread to </w:t>
      </w:r>
      <w:r>
        <w:lastRenderedPageBreak/>
        <w:t>depress the price of wool in the Cotswolds.</w:t>
      </w:r>
      <w:r>
        <w:rPr>
          <w:rStyle w:val="FootnoteReference"/>
        </w:rPr>
        <w:footnoteReference w:id="65"/>
      </w:r>
      <w:r>
        <w:t xml:space="preserve">  </w:t>
      </w:r>
      <w:proofErr w:type="spellStart"/>
      <w:r w:rsidRPr="00553070">
        <w:rPr>
          <w:i/>
        </w:rPr>
        <w:t>Hilbers</w:t>
      </w:r>
      <w:proofErr w:type="spellEnd"/>
      <w:r>
        <w:rPr>
          <w:rStyle w:val="FootnoteReference"/>
          <w:i/>
        </w:rPr>
        <w:footnoteReference w:id="66"/>
      </w:r>
      <w:r>
        <w:t xml:space="preserve"> was indicted for a conspiracy to raise the price of oil by fictitious sales, and of course, </w:t>
      </w:r>
      <w:r w:rsidRPr="00E8311D">
        <w:rPr>
          <w:i/>
        </w:rPr>
        <w:t>Waddington</w:t>
      </w:r>
      <w:r>
        <w:t xml:space="preserve"> was indicted for spreading false rumours to affect the price of hops.</w:t>
      </w:r>
      <w:r w:rsidR="00B303A0">
        <w:t xml:space="preserve"> </w:t>
      </w:r>
    </w:p>
    <w:p w:rsidR="00E627BC" w:rsidRDefault="00E627BC" w:rsidP="00E627BC">
      <w:pPr>
        <w:pStyle w:val="ASQC"/>
        <w:numPr>
          <w:ilvl w:val="0"/>
          <w:numId w:val="0"/>
        </w:numPr>
        <w:ind w:left="567"/>
      </w:pPr>
    </w:p>
    <w:p w:rsidR="00E627BC" w:rsidRDefault="00E627BC" w:rsidP="00E627BC">
      <w:pPr>
        <w:pStyle w:val="ASQC"/>
      </w:pPr>
      <w:r>
        <w:t xml:space="preserve">After 1845, </w:t>
      </w:r>
      <w:r w:rsidRPr="00556AD5">
        <w:t xml:space="preserve">even this aspect of the offence faded into some obscurity. Nevertheless, </w:t>
      </w:r>
      <w:r>
        <w:t xml:space="preserve">the s4 proviso </w:t>
      </w:r>
      <w:r w:rsidRPr="00556AD5">
        <w:t xml:space="preserve">remained good law.  </w:t>
      </w:r>
      <w:r>
        <w:t>T</w:t>
      </w:r>
      <w:r w:rsidRPr="00556AD5">
        <w:t xml:space="preserve">he </w:t>
      </w:r>
      <w:r w:rsidRPr="00522AFC">
        <w:rPr>
          <w:rFonts w:ascii="Calibri" w:hAnsi="Calibri" w:cs="Times New Roman"/>
          <w:i/>
        </w:rPr>
        <w:t xml:space="preserve">Forestalling, </w:t>
      </w:r>
      <w:proofErr w:type="spellStart"/>
      <w:r w:rsidRPr="00522AFC">
        <w:rPr>
          <w:rFonts w:ascii="Calibri" w:hAnsi="Calibri" w:cs="Times New Roman"/>
          <w:i/>
        </w:rPr>
        <w:t>Regrating</w:t>
      </w:r>
      <w:proofErr w:type="spellEnd"/>
      <w:r w:rsidRPr="00522AFC">
        <w:rPr>
          <w:rFonts w:ascii="Calibri" w:hAnsi="Calibri" w:cs="Times New Roman"/>
          <w:i/>
        </w:rPr>
        <w:t xml:space="preserve"> </w:t>
      </w:r>
      <w:proofErr w:type="spellStart"/>
      <w:r w:rsidRPr="00522AFC">
        <w:rPr>
          <w:rFonts w:ascii="Calibri" w:hAnsi="Calibri" w:cs="Times New Roman"/>
          <w:i/>
        </w:rPr>
        <w:t>etc</w:t>
      </w:r>
      <w:proofErr w:type="spellEnd"/>
      <w:r w:rsidRPr="00522AFC">
        <w:rPr>
          <w:rFonts w:ascii="Calibri" w:hAnsi="Calibri" w:cs="Times New Roman"/>
          <w:i/>
        </w:rPr>
        <w:t xml:space="preserve"> Act</w:t>
      </w:r>
      <w:r w:rsidRPr="00522AFC">
        <w:rPr>
          <w:rFonts w:ascii="Calibri" w:hAnsi="Calibri" w:cs="Times New Roman"/>
        </w:rPr>
        <w:t xml:space="preserve"> 1844</w:t>
      </w:r>
      <w:r>
        <w:t xml:space="preserve"> </w:t>
      </w:r>
      <w:r w:rsidRPr="00556AD5">
        <w:t xml:space="preserve">was itself abolished by the </w:t>
      </w:r>
      <w:r w:rsidRPr="00556AD5">
        <w:rPr>
          <w:i/>
        </w:rPr>
        <w:t>Statute Law Revision Act</w:t>
      </w:r>
      <w:r w:rsidRPr="00556AD5">
        <w:t xml:space="preserve"> 1892, </w:t>
      </w:r>
      <w:r>
        <w:t xml:space="preserve">but </w:t>
      </w:r>
      <w:r w:rsidR="00A87591">
        <w:t xml:space="preserve">if </w:t>
      </w:r>
      <w:r w:rsidRPr="00556AD5">
        <w:t xml:space="preserve">the effect of its abolition </w:t>
      </w:r>
      <w:r>
        <w:t xml:space="preserve">did not </w:t>
      </w:r>
      <w:r w:rsidRPr="00556AD5">
        <w:t xml:space="preserve">revive the original offences, </w:t>
      </w:r>
      <w:r>
        <w:t xml:space="preserve">nor did it affect </w:t>
      </w:r>
      <w:r w:rsidRPr="00556AD5">
        <w:t xml:space="preserve">the continued existence of the truncated offence </w:t>
      </w:r>
      <w:r>
        <w:t xml:space="preserve">of forestalling as preserved by </w:t>
      </w:r>
      <w:r w:rsidRPr="00556AD5">
        <w:t>s4.</w:t>
      </w:r>
      <w:r w:rsidRPr="00556AD5">
        <w:rPr>
          <w:rStyle w:val="FootnoteReference"/>
        </w:rPr>
        <w:footnoteReference w:id="67"/>
      </w:r>
      <w:r w:rsidRPr="00556AD5">
        <w:t xml:space="preserve">  </w:t>
      </w:r>
      <w:r>
        <w:t>The existence of the proviso made its regular</w:t>
      </w:r>
      <w:r w:rsidR="00B303A0">
        <w:t xml:space="preserve"> appearance in </w:t>
      </w:r>
      <w:proofErr w:type="spellStart"/>
      <w:r w:rsidR="00B303A0">
        <w:t>Archbold</w:t>
      </w:r>
      <w:proofErr w:type="spellEnd"/>
      <w:r w:rsidR="00B303A0">
        <w:t xml:space="preserve"> up to</w:t>
      </w:r>
      <w:r>
        <w:t xml:space="preserve"> the 36</w:t>
      </w:r>
      <w:r w:rsidRPr="00E627BC">
        <w:rPr>
          <w:vertAlign w:val="superscript"/>
        </w:rPr>
        <w:t>th</w:t>
      </w:r>
      <w:r>
        <w:t xml:space="preserve"> edition in 1966.</w:t>
      </w:r>
      <w:r>
        <w:rPr>
          <w:rStyle w:val="FootnoteReference"/>
        </w:rPr>
        <w:footnoteReference w:id="68"/>
      </w:r>
      <w:r>
        <w:t xml:space="preserve">  Moreover it </w:t>
      </w:r>
      <w:r w:rsidRPr="00556AD5">
        <w:t xml:space="preserve">was cited in Halsbury’s </w:t>
      </w:r>
      <w:r w:rsidRPr="00556AD5">
        <w:rPr>
          <w:i/>
        </w:rPr>
        <w:t xml:space="preserve">Laws </w:t>
      </w:r>
      <w:r w:rsidRPr="00556AD5">
        <w:t>in its first 3 editions</w:t>
      </w:r>
      <w:r>
        <w:t xml:space="preserve"> (until 1973)</w:t>
      </w:r>
      <w:r w:rsidRPr="00556AD5">
        <w:t>, as punishable by fine and/or imprisonment.</w:t>
      </w:r>
      <w:r w:rsidRPr="00556AD5">
        <w:rPr>
          <w:rStyle w:val="FootnoteReference"/>
        </w:rPr>
        <w:footnoteReference w:id="69"/>
      </w:r>
      <w:r>
        <w:t xml:space="preserve"> </w:t>
      </w:r>
      <w:r w:rsidR="00A87591">
        <w:t xml:space="preserve"> It was quietly dropped from both works after that. </w:t>
      </w:r>
    </w:p>
    <w:p w:rsidR="00E627BC" w:rsidRDefault="00E627BC" w:rsidP="00E627BC">
      <w:pPr>
        <w:pStyle w:val="ASQC"/>
        <w:numPr>
          <w:ilvl w:val="0"/>
          <w:numId w:val="0"/>
        </w:numPr>
        <w:ind w:left="567"/>
      </w:pPr>
    </w:p>
    <w:p w:rsidR="00E627BC" w:rsidRDefault="00A87591" w:rsidP="00BE0CB8">
      <w:pPr>
        <w:pStyle w:val="ASQC"/>
      </w:pPr>
      <w:r>
        <w:t>Nevertheless, i</w:t>
      </w:r>
      <w:r w:rsidR="00E627BC">
        <w:t xml:space="preserve">t appears that the forestalling remnant represented by the proviso </w:t>
      </w:r>
      <w:r>
        <w:t>still exists.</w:t>
      </w:r>
      <w:r w:rsidR="00E627BC">
        <w:t xml:space="preserve">  </w:t>
      </w:r>
      <w:r>
        <w:t>I suggest that i</w:t>
      </w:r>
      <w:r w:rsidR="00E627BC">
        <w:t xml:space="preserve">ts non-appearance in the text-books merely reflects its </w:t>
      </w:r>
      <w:r w:rsidR="00553070">
        <w:t xml:space="preserve">desuetude </w:t>
      </w:r>
      <w:r w:rsidR="00E627BC">
        <w:t>and the appearance of alternative statutory remedies.</w:t>
      </w:r>
    </w:p>
    <w:p w:rsidR="00553070" w:rsidRDefault="00553070" w:rsidP="00553070">
      <w:pPr>
        <w:pStyle w:val="ListParagraph"/>
      </w:pPr>
    </w:p>
    <w:p w:rsidR="00553070" w:rsidRDefault="00553070" w:rsidP="00553070">
      <w:pPr>
        <w:pStyle w:val="ListParagraph"/>
        <w:rPr>
          <w:b/>
          <w:smallCaps/>
          <w:sz w:val="24"/>
        </w:rPr>
      </w:pPr>
      <w:r w:rsidRPr="00553070">
        <w:rPr>
          <w:b/>
          <w:smallCaps/>
          <w:sz w:val="24"/>
        </w:rPr>
        <w:t xml:space="preserve">De </w:t>
      </w:r>
      <w:proofErr w:type="spellStart"/>
      <w:r w:rsidRPr="00553070">
        <w:rPr>
          <w:b/>
          <w:smallCaps/>
          <w:sz w:val="24"/>
        </w:rPr>
        <w:t>Berenger</w:t>
      </w:r>
      <w:proofErr w:type="spellEnd"/>
    </w:p>
    <w:p w:rsidR="00553070" w:rsidRPr="00553070" w:rsidRDefault="00553070" w:rsidP="00553070">
      <w:pPr>
        <w:pStyle w:val="ListParagraph"/>
        <w:rPr>
          <w:b/>
          <w:smallCaps/>
          <w:sz w:val="24"/>
        </w:rPr>
      </w:pPr>
    </w:p>
    <w:p w:rsidR="009938EF" w:rsidRPr="00F26A46" w:rsidRDefault="00F26A46" w:rsidP="00707FBB">
      <w:pPr>
        <w:pStyle w:val="ASQC"/>
      </w:pPr>
      <w:r>
        <w:t xml:space="preserve">Lord Ellenborough was still Chief Justice </w:t>
      </w:r>
      <w:r w:rsidR="00707FBB">
        <w:t xml:space="preserve">when </w:t>
      </w:r>
      <w:r>
        <w:t xml:space="preserve">the </w:t>
      </w:r>
      <w:r w:rsidR="00764854" w:rsidRPr="00F26A46">
        <w:rPr>
          <w:i/>
        </w:rPr>
        <w:softHyphen/>
        <w:t xml:space="preserve">De </w:t>
      </w:r>
      <w:proofErr w:type="spellStart"/>
      <w:r w:rsidR="00764854" w:rsidRPr="00F26A46">
        <w:rPr>
          <w:i/>
        </w:rPr>
        <w:t>Berenger</w:t>
      </w:r>
      <w:proofErr w:type="spellEnd"/>
      <w:r w:rsidR="00764854" w:rsidRPr="00F26A46">
        <w:rPr>
          <w:i/>
        </w:rPr>
        <w:t xml:space="preserve"> </w:t>
      </w:r>
      <w:r w:rsidR="00764854" w:rsidRPr="00F26A46">
        <w:t>Stock Exchange</w:t>
      </w:r>
      <w:r w:rsidR="00764854" w:rsidRPr="00F26A46">
        <w:rPr>
          <w:i/>
        </w:rPr>
        <w:t xml:space="preserve"> </w:t>
      </w:r>
      <w:r w:rsidR="00764854" w:rsidRPr="00F26A46">
        <w:t>scandal</w:t>
      </w:r>
      <w:r w:rsidR="00764854" w:rsidRPr="00F26A46">
        <w:rPr>
          <w:i/>
        </w:rPr>
        <w:t xml:space="preserve"> </w:t>
      </w:r>
      <w:r w:rsidR="00707FBB">
        <w:t>broke in 1814.</w:t>
      </w:r>
      <w:r w:rsidR="00764854" w:rsidRPr="00556AD5">
        <w:rPr>
          <w:rStyle w:val="FootnoteReference"/>
          <w:i/>
        </w:rPr>
        <w:footnoteReference w:id="70"/>
      </w:r>
      <w:r w:rsidR="00764854" w:rsidRPr="00F26A46">
        <w:t xml:space="preserve"> </w:t>
      </w:r>
      <w:r w:rsidR="00707FBB">
        <w:t xml:space="preserve">He </w:t>
      </w:r>
      <w:r>
        <w:t xml:space="preserve">conducted the subsequent </w:t>
      </w:r>
      <w:r w:rsidR="00707FBB">
        <w:t xml:space="preserve">criminal </w:t>
      </w:r>
      <w:r>
        <w:t>trial</w:t>
      </w:r>
      <w:r w:rsidR="00707FBB">
        <w:t xml:space="preserve"> which </w:t>
      </w:r>
      <w:r w:rsidR="00764854" w:rsidRPr="00F26A46">
        <w:t>was length</w:t>
      </w:r>
      <w:r w:rsidR="00707FBB">
        <w:t>y (2</w:t>
      </w:r>
      <w:r w:rsidR="00A87591">
        <w:t xml:space="preserve"> </w:t>
      </w:r>
      <w:r w:rsidR="00707FBB">
        <w:t xml:space="preserve">days) and notorious for his </w:t>
      </w:r>
      <w:r w:rsidR="00764854" w:rsidRPr="00F26A46">
        <w:t>insistence that the defence begin at 10pm after a thirteen hour prosecution case (th</w:t>
      </w:r>
      <w:r w:rsidR="009938EF" w:rsidRPr="00F26A46">
        <w:t>e case was adjourned at 3:00</w:t>
      </w:r>
      <w:r w:rsidR="00A87591">
        <w:t xml:space="preserve"> </w:t>
      </w:r>
      <w:r w:rsidR="009938EF" w:rsidRPr="00F26A46">
        <w:t>am)</w:t>
      </w:r>
      <w:r w:rsidR="00764854" w:rsidRPr="00F26A46">
        <w:t>; and the fact that one of the defendants was Lord Cochrane, a famous frigate captain.</w:t>
      </w:r>
      <w:r w:rsidR="00764854" w:rsidRPr="00556AD5">
        <w:rPr>
          <w:rStyle w:val="FootnoteReference"/>
        </w:rPr>
        <w:footnoteReference w:id="71"/>
      </w:r>
      <w:r w:rsidR="00764854" w:rsidRPr="00F26A46">
        <w:t xml:space="preserve"> </w:t>
      </w:r>
    </w:p>
    <w:p w:rsidR="00707FBB" w:rsidRPr="00707FBB" w:rsidRDefault="00707FBB" w:rsidP="00707FBB">
      <w:pPr>
        <w:pStyle w:val="ASQC"/>
        <w:numPr>
          <w:ilvl w:val="0"/>
          <w:numId w:val="0"/>
        </w:numPr>
        <w:ind w:left="567"/>
      </w:pPr>
    </w:p>
    <w:p w:rsidR="00764854" w:rsidRPr="00707FBB" w:rsidRDefault="009938EF" w:rsidP="00707FBB">
      <w:pPr>
        <w:pStyle w:val="ASQC"/>
      </w:pPr>
      <w:r w:rsidRPr="00707FBB">
        <w:rPr>
          <w:i/>
        </w:rPr>
        <w:t xml:space="preserve">De </w:t>
      </w:r>
      <w:proofErr w:type="spellStart"/>
      <w:r w:rsidRPr="00707FBB">
        <w:rPr>
          <w:i/>
        </w:rPr>
        <w:t>Berenger</w:t>
      </w:r>
      <w:proofErr w:type="spellEnd"/>
      <w:r w:rsidRPr="00707FBB">
        <w:t xml:space="preserve"> </w:t>
      </w:r>
      <w:r w:rsidR="00764854" w:rsidRPr="00707FBB">
        <w:t>involved a successful conspiracy “</w:t>
      </w:r>
      <w:r w:rsidR="00764854" w:rsidRPr="00707FBB">
        <w:rPr>
          <w:i/>
        </w:rPr>
        <w:t>by false rumours to raise the price of public funds and securities</w:t>
      </w:r>
      <w:r w:rsidR="00764854" w:rsidRPr="00707FBB">
        <w:t xml:space="preserve">” by spreading reports </w:t>
      </w:r>
      <w:r w:rsidR="00F3289B" w:rsidRPr="00707FBB">
        <w:t xml:space="preserve">through by uniformed couriers wearing white Bourbon cockades </w:t>
      </w:r>
      <w:r w:rsidR="00764854" w:rsidRPr="00707FBB">
        <w:t xml:space="preserve">about the death </w:t>
      </w:r>
      <w:r w:rsidRPr="00707FBB">
        <w:t xml:space="preserve">and dismemberment </w:t>
      </w:r>
      <w:r w:rsidR="00764854" w:rsidRPr="00707FBB">
        <w:t xml:space="preserve">of Napoleon </w:t>
      </w:r>
      <w:r w:rsidR="00F3289B" w:rsidRPr="00707FBB">
        <w:t xml:space="preserve">from </w:t>
      </w:r>
      <w:r w:rsidR="00764854" w:rsidRPr="00707FBB">
        <w:t xml:space="preserve">Cossack </w:t>
      </w:r>
      <w:r w:rsidRPr="00707FBB">
        <w:t>sabres</w:t>
      </w:r>
      <w:r w:rsidR="00764854" w:rsidRPr="00707FBB">
        <w:t xml:space="preserve">. Lord Ellenborough </w:t>
      </w:r>
      <w:r w:rsidR="00F3289B" w:rsidRPr="00707FBB">
        <w:t xml:space="preserve">observed </w:t>
      </w:r>
      <w:r w:rsidR="00764854" w:rsidRPr="00707FBB">
        <w:t xml:space="preserve">that the </w:t>
      </w:r>
      <w:r w:rsidR="00764854" w:rsidRPr="00707FBB">
        <w:rPr>
          <w:rFonts w:ascii="Calibri" w:hAnsi="Calibri"/>
        </w:rPr>
        <w:t>conspiracy “</w:t>
      </w:r>
      <w:r w:rsidR="00764854" w:rsidRPr="00707FBB">
        <w:rPr>
          <w:rFonts w:ascii="Calibri" w:hAnsi="Calibri" w:cs="Times New Roman"/>
          <w:i/>
          <w:szCs w:val="20"/>
        </w:rPr>
        <w:t>strikes at the price of a vendible commodity in the market</w:t>
      </w:r>
      <w:r w:rsidR="00764854" w:rsidRPr="00707FBB">
        <w:rPr>
          <w:rFonts w:ascii="Calibri" w:hAnsi="Calibri" w:cs="Times New Roman"/>
          <w:sz w:val="20"/>
          <w:szCs w:val="20"/>
        </w:rPr>
        <w:t>”</w:t>
      </w:r>
      <w:r w:rsidR="00764854" w:rsidRPr="00707FBB">
        <w:rPr>
          <w:rFonts w:ascii="Times New Roman" w:hAnsi="Times New Roman" w:cs="Times New Roman"/>
          <w:sz w:val="20"/>
          <w:szCs w:val="20"/>
        </w:rPr>
        <w:t xml:space="preserve"> </w:t>
      </w:r>
      <w:r w:rsidR="00764854" w:rsidRPr="00707FBB">
        <w:rPr>
          <w:rFonts w:ascii="Calibri" w:hAnsi="Calibri" w:cs="Times New Roman"/>
          <w:szCs w:val="20"/>
        </w:rPr>
        <w:t>and Le Blanc J stated:</w:t>
      </w:r>
    </w:p>
    <w:p w:rsidR="00764854" w:rsidRDefault="00764854" w:rsidP="00764854">
      <w:pPr>
        <w:autoSpaceDE w:val="0"/>
        <w:autoSpaceDN w:val="0"/>
        <w:adjustRightInd w:val="0"/>
        <w:spacing w:after="0" w:line="240" w:lineRule="auto"/>
        <w:ind w:left="993"/>
        <w:rPr>
          <w:rFonts w:ascii="Calibri" w:hAnsi="Calibri" w:cs="Times New Roman"/>
          <w:i/>
          <w:szCs w:val="20"/>
        </w:rPr>
      </w:pPr>
      <w:r w:rsidRPr="00300912">
        <w:rPr>
          <w:rFonts w:ascii="Calibri" w:hAnsi="Calibri"/>
          <w:i/>
          <w:szCs w:val="20"/>
        </w:rPr>
        <w:lastRenderedPageBreak/>
        <w:t>“</w:t>
      </w:r>
      <w:r w:rsidRPr="00300912">
        <w:rPr>
          <w:rFonts w:ascii="Calibri" w:hAnsi="Calibri" w:cs="Times New Roman"/>
          <w:i/>
          <w:szCs w:val="20"/>
        </w:rPr>
        <w:t xml:space="preserve">The offence being to raise the funds on a future day, its object was to injure all those who should become purchasers on that day, and not some individuals in particular. In the same manner it is if a false rumour be spread on a day prior to a market day, in order to raise the price of </w:t>
      </w:r>
      <w:r w:rsidRPr="00300912">
        <w:rPr>
          <w:rFonts w:ascii="Calibri" w:hAnsi="Calibri" w:cs="Courier New"/>
          <w:b/>
          <w:bCs/>
          <w:i/>
          <w:szCs w:val="20"/>
        </w:rPr>
        <w:t xml:space="preserve">a </w:t>
      </w:r>
      <w:r w:rsidRPr="00300912">
        <w:rPr>
          <w:rFonts w:ascii="Calibri" w:hAnsi="Calibri" w:cs="Times New Roman"/>
          <w:i/>
          <w:szCs w:val="20"/>
        </w:rPr>
        <w:t>commodity in the market, whether it be an article of necessity or not.”</w:t>
      </w:r>
    </w:p>
    <w:p w:rsidR="009938EF" w:rsidRDefault="009938EF" w:rsidP="00764854">
      <w:pPr>
        <w:autoSpaceDE w:val="0"/>
        <w:autoSpaceDN w:val="0"/>
        <w:adjustRightInd w:val="0"/>
        <w:spacing w:after="0" w:line="240" w:lineRule="auto"/>
        <w:ind w:left="993"/>
        <w:rPr>
          <w:rFonts w:ascii="Calibri" w:hAnsi="Calibri"/>
          <w:i/>
          <w:szCs w:val="20"/>
        </w:rPr>
      </w:pPr>
    </w:p>
    <w:p w:rsidR="003C3D69" w:rsidRPr="003C3D69" w:rsidRDefault="00764854" w:rsidP="009938EF">
      <w:pPr>
        <w:pStyle w:val="ListParagraph"/>
        <w:numPr>
          <w:ilvl w:val="0"/>
          <w:numId w:val="11"/>
        </w:numPr>
        <w:ind w:left="567" w:hanging="567"/>
      </w:pPr>
      <w:r w:rsidRPr="00300912">
        <w:rPr>
          <w:sz w:val="24"/>
          <w:szCs w:val="24"/>
        </w:rPr>
        <w:t>The case is usually cited as a classic case of conspiracy to defraud.</w:t>
      </w:r>
      <w:r w:rsidRPr="00300912">
        <w:rPr>
          <w:rStyle w:val="FootnoteReference"/>
          <w:sz w:val="24"/>
          <w:szCs w:val="24"/>
        </w:rPr>
        <w:footnoteReference w:id="72"/>
      </w:r>
      <w:r w:rsidRPr="00300912">
        <w:rPr>
          <w:sz w:val="24"/>
          <w:szCs w:val="24"/>
        </w:rPr>
        <w:t xml:space="preserve"> </w:t>
      </w:r>
      <w:r w:rsidR="00F3289B">
        <w:rPr>
          <w:sz w:val="24"/>
          <w:szCs w:val="24"/>
        </w:rPr>
        <w:t xml:space="preserve"> Counts 1 and 2 of the indictment certainly pleaded an intention to “</w:t>
      </w:r>
      <w:r w:rsidR="00F3289B" w:rsidRPr="00F3289B">
        <w:rPr>
          <w:i/>
          <w:sz w:val="24"/>
          <w:szCs w:val="24"/>
        </w:rPr>
        <w:t>cheat and defraud</w:t>
      </w:r>
      <w:r w:rsidR="00F3289B">
        <w:rPr>
          <w:sz w:val="24"/>
          <w:szCs w:val="24"/>
        </w:rPr>
        <w:t xml:space="preserve">”. </w:t>
      </w:r>
      <w:r w:rsidR="00926EC4">
        <w:rPr>
          <w:sz w:val="24"/>
          <w:szCs w:val="24"/>
        </w:rPr>
        <w:t>But the remaining counts (</w:t>
      </w:r>
      <w:r w:rsidR="00F3289B">
        <w:rPr>
          <w:sz w:val="24"/>
          <w:szCs w:val="24"/>
        </w:rPr>
        <w:t>3</w:t>
      </w:r>
      <w:r w:rsidR="00926EC4">
        <w:rPr>
          <w:sz w:val="24"/>
          <w:szCs w:val="24"/>
        </w:rPr>
        <w:t xml:space="preserve"> to 8)</w:t>
      </w:r>
      <w:r w:rsidR="00F3289B">
        <w:rPr>
          <w:sz w:val="24"/>
          <w:szCs w:val="24"/>
        </w:rPr>
        <w:t xml:space="preserve"> merely refer to </w:t>
      </w:r>
      <w:r w:rsidR="00926EC4">
        <w:rPr>
          <w:sz w:val="24"/>
          <w:szCs w:val="24"/>
        </w:rPr>
        <w:t xml:space="preserve">the temporary </w:t>
      </w:r>
      <w:r w:rsidR="00F3289B" w:rsidRPr="00926EC4">
        <w:rPr>
          <w:sz w:val="24"/>
          <w:szCs w:val="24"/>
        </w:rPr>
        <w:t>increase in the rise of the prices of government funds and other government securities</w:t>
      </w:r>
      <w:r w:rsidR="00926EC4">
        <w:rPr>
          <w:sz w:val="24"/>
          <w:szCs w:val="24"/>
        </w:rPr>
        <w:t xml:space="preserve"> by means of the false rumours</w:t>
      </w:r>
      <w:r w:rsidR="00F3289B" w:rsidRPr="00F3289B">
        <w:rPr>
          <w:i/>
          <w:sz w:val="24"/>
          <w:szCs w:val="24"/>
        </w:rPr>
        <w:t xml:space="preserve"> </w:t>
      </w:r>
      <w:r w:rsidR="00926EC4">
        <w:rPr>
          <w:i/>
          <w:sz w:val="24"/>
          <w:szCs w:val="24"/>
        </w:rPr>
        <w:t>“</w:t>
      </w:r>
      <w:r w:rsidR="00F3289B" w:rsidRPr="00F3289B">
        <w:rPr>
          <w:i/>
          <w:sz w:val="24"/>
          <w:szCs w:val="24"/>
        </w:rPr>
        <w:t>with the wicked intention to thereby greatly injure and aggrieve all liege subjects</w:t>
      </w:r>
      <w:r w:rsidR="00926EC4">
        <w:rPr>
          <w:sz w:val="24"/>
          <w:szCs w:val="24"/>
        </w:rPr>
        <w:t xml:space="preserve">”. </w:t>
      </w:r>
      <w:r w:rsidRPr="00300912">
        <w:rPr>
          <w:sz w:val="24"/>
          <w:szCs w:val="24"/>
        </w:rPr>
        <w:t xml:space="preserve"> </w:t>
      </w:r>
    </w:p>
    <w:p w:rsidR="009938EF" w:rsidRDefault="009938EF" w:rsidP="00E2289F">
      <w:pPr>
        <w:pStyle w:val="ListParagraph"/>
        <w:spacing w:line="240" w:lineRule="auto"/>
        <w:ind w:left="567"/>
        <w:rPr>
          <w:sz w:val="24"/>
          <w:szCs w:val="24"/>
        </w:rPr>
      </w:pPr>
    </w:p>
    <w:p w:rsidR="00E2289F" w:rsidRPr="00C643E8" w:rsidRDefault="00926EC4" w:rsidP="00C643E8">
      <w:pPr>
        <w:pStyle w:val="ListParagraph"/>
        <w:numPr>
          <w:ilvl w:val="0"/>
          <w:numId w:val="11"/>
        </w:numPr>
        <w:spacing w:line="240" w:lineRule="auto"/>
        <w:ind w:left="567" w:hanging="567"/>
        <w:rPr>
          <w:sz w:val="24"/>
          <w:szCs w:val="24"/>
        </w:rPr>
      </w:pPr>
      <w:r>
        <w:rPr>
          <w:iCs/>
          <w:sz w:val="24"/>
          <w:szCs w:val="24"/>
        </w:rPr>
        <w:t>Direct reference was made to the common law</w:t>
      </w:r>
      <w:r w:rsidR="00C643E8">
        <w:rPr>
          <w:iCs/>
          <w:sz w:val="24"/>
          <w:szCs w:val="24"/>
        </w:rPr>
        <w:t xml:space="preserve"> provisions</w:t>
      </w:r>
      <w:r w:rsidRPr="00C643E8">
        <w:rPr>
          <w:iCs/>
          <w:sz w:val="24"/>
          <w:szCs w:val="24"/>
        </w:rPr>
        <w:t>. D</w:t>
      </w:r>
      <w:r w:rsidR="00764854" w:rsidRPr="00C643E8">
        <w:rPr>
          <w:iCs/>
          <w:sz w:val="24"/>
          <w:szCs w:val="24"/>
        </w:rPr>
        <w:t>uring the course of argument in Arrest of Judgement</w:t>
      </w:r>
      <w:r w:rsidR="00764854">
        <w:rPr>
          <w:rStyle w:val="FootnoteReference"/>
          <w:iCs/>
          <w:sz w:val="24"/>
          <w:szCs w:val="24"/>
        </w:rPr>
        <w:footnoteReference w:id="73"/>
      </w:r>
      <w:r w:rsidR="00764854" w:rsidRPr="00C643E8">
        <w:rPr>
          <w:iCs/>
          <w:sz w:val="24"/>
          <w:szCs w:val="24"/>
        </w:rPr>
        <w:t>, Le Blanc J observed the crime was complete before any loss, “</w:t>
      </w:r>
      <w:r w:rsidR="00764854" w:rsidRPr="00C643E8">
        <w:rPr>
          <w:i/>
          <w:iCs/>
          <w:sz w:val="24"/>
          <w:szCs w:val="24"/>
        </w:rPr>
        <w:t>in like manner as conspiring to raise the price of commodities in a market</w:t>
      </w:r>
      <w:r w:rsidR="00E2289F" w:rsidRPr="00C643E8">
        <w:rPr>
          <w:iCs/>
          <w:sz w:val="24"/>
          <w:szCs w:val="24"/>
        </w:rPr>
        <w:t xml:space="preserve">…” </w:t>
      </w:r>
      <w:r w:rsidR="00764854" w:rsidRPr="00C643E8">
        <w:rPr>
          <w:iCs/>
          <w:sz w:val="24"/>
          <w:szCs w:val="24"/>
        </w:rPr>
        <w:t xml:space="preserve"> To Sergeant Best’s rejoinder that “</w:t>
      </w:r>
      <w:r w:rsidR="00764854" w:rsidRPr="00C643E8">
        <w:rPr>
          <w:i/>
          <w:iCs/>
          <w:sz w:val="24"/>
          <w:szCs w:val="24"/>
        </w:rPr>
        <w:t>commodities in a market are articles of necessity, which makes a distinction</w:t>
      </w:r>
      <w:r w:rsidRPr="00C643E8">
        <w:rPr>
          <w:iCs/>
          <w:sz w:val="24"/>
          <w:szCs w:val="24"/>
        </w:rPr>
        <w:t>,</w:t>
      </w:r>
      <w:r w:rsidR="00764854" w:rsidRPr="00C643E8">
        <w:rPr>
          <w:iCs/>
          <w:sz w:val="24"/>
          <w:szCs w:val="24"/>
        </w:rPr>
        <w:t>” Lord Ellenborough replied: “</w:t>
      </w:r>
      <w:r w:rsidR="00764854" w:rsidRPr="00C643E8">
        <w:rPr>
          <w:i/>
          <w:iCs/>
          <w:sz w:val="24"/>
          <w:szCs w:val="24"/>
        </w:rPr>
        <w:t xml:space="preserve">Whether it </w:t>
      </w:r>
      <w:proofErr w:type="gramStart"/>
      <w:r w:rsidR="00764854" w:rsidRPr="00C643E8">
        <w:rPr>
          <w:i/>
          <w:iCs/>
          <w:sz w:val="24"/>
          <w:szCs w:val="24"/>
        </w:rPr>
        <w:t>be</w:t>
      </w:r>
      <w:proofErr w:type="gramEnd"/>
      <w:r w:rsidR="00764854" w:rsidRPr="00C643E8">
        <w:rPr>
          <w:i/>
          <w:iCs/>
          <w:sz w:val="24"/>
          <w:szCs w:val="24"/>
        </w:rPr>
        <w:t xml:space="preserve"> articles of necessity, or of universal sale, comes to the same thing</w:t>
      </w:r>
      <w:r w:rsidR="00764854" w:rsidRPr="00C643E8">
        <w:rPr>
          <w:iCs/>
          <w:sz w:val="24"/>
          <w:szCs w:val="24"/>
        </w:rPr>
        <w:t>”. In giving judgement, Lord Ellenborough stated that the purpose of the conspiracy “</w:t>
      </w:r>
      <w:r w:rsidR="00764854" w:rsidRPr="00C643E8">
        <w:rPr>
          <w:i/>
          <w:iCs/>
          <w:sz w:val="24"/>
          <w:szCs w:val="24"/>
        </w:rPr>
        <w:t>is in its nature mischievous; it is one which</w:t>
      </w:r>
      <w:r w:rsidRPr="00C643E8">
        <w:rPr>
          <w:i/>
          <w:iCs/>
          <w:sz w:val="24"/>
          <w:szCs w:val="24"/>
        </w:rPr>
        <w:t xml:space="preserve"> strikes at the value of a vendi</w:t>
      </w:r>
      <w:r w:rsidR="00764854" w:rsidRPr="00C643E8">
        <w:rPr>
          <w:i/>
          <w:iCs/>
          <w:sz w:val="24"/>
          <w:szCs w:val="24"/>
        </w:rPr>
        <w:t>ble article in the market, and if it gives a fictitious value, by means of false rumours, it is a fraud…”</w:t>
      </w:r>
      <w:r w:rsidR="00E2289F" w:rsidRPr="00C643E8">
        <w:rPr>
          <w:iCs/>
          <w:sz w:val="24"/>
          <w:szCs w:val="24"/>
        </w:rPr>
        <w:t xml:space="preserve">  </w:t>
      </w:r>
      <w:r w:rsidR="00764854" w:rsidRPr="00C643E8">
        <w:rPr>
          <w:iCs/>
          <w:sz w:val="24"/>
          <w:szCs w:val="24"/>
        </w:rPr>
        <w:t>Dampier J</w:t>
      </w:r>
      <w:r w:rsidR="00C643E8">
        <w:rPr>
          <w:iCs/>
          <w:sz w:val="24"/>
          <w:szCs w:val="24"/>
        </w:rPr>
        <w:t>.</w:t>
      </w:r>
      <w:r w:rsidR="00764854" w:rsidRPr="00C643E8">
        <w:rPr>
          <w:iCs/>
          <w:sz w:val="24"/>
          <w:szCs w:val="24"/>
        </w:rPr>
        <w:t xml:space="preserve"> described the ob</w:t>
      </w:r>
      <w:r w:rsidR="00E2289F" w:rsidRPr="00C643E8">
        <w:rPr>
          <w:iCs/>
          <w:sz w:val="24"/>
          <w:szCs w:val="24"/>
        </w:rPr>
        <w:t>ject of the conspiracy as wrong</w:t>
      </w:r>
      <w:r w:rsidR="00764854" w:rsidRPr="00C643E8">
        <w:rPr>
          <w:iCs/>
          <w:sz w:val="24"/>
          <w:szCs w:val="24"/>
        </w:rPr>
        <w:t xml:space="preserve"> </w:t>
      </w:r>
      <w:r w:rsidR="00764854" w:rsidRPr="00C643E8">
        <w:rPr>
          <w:i/>
          <w:iCs/>
          <w:sz w:val="24"/>
          <w:szCs w:val="24"/>
        </w:rPr>
        <w:t xml:space="preserve"> </w:t>
      </w:r>
      <w:r w:rsidR="00764854" w:rsidRPr="00C643E8">
        <w:rPr>
          <w:iCs/>
          <w:sz w:val="24"/>
          <w:szCs w:val="24"/>
        </w:rPr>
        <w:t xml:space="preserve"> “</w:t>
      </w:r>
      <w:r w:rsidR="00764854" w:rsidRPr="00C643E8">
        <w:rPr>
          <w:i/>
          <w:iCs/>
          <w:sz w:val="24"/>
          <w:szCs w:val="24"/>
        </w:rPr>
        <w:t>for it is to give a false value to a commodity in a public market</w:t>
      </w:r>
      <w:r w:rsidR="00764854" w:rsidRPr="00C643E8">
        <w:rPr>
          <w:iCs/>
          <w:sz w:val="24"/>
          <w:szCs w:val="24"/>
        </w:rPr>
        <w:t xml:space="preserve">.” </w:t>
      </w:r>
    </w:p>
    <w:p w:rsidR="00BE0CB8" w:rsidRPr="00BE0CB8" w:rsidRDefault="00BE0CB8" w:rsidP="00BE0CB8">
      <w:pPr>
        <w:pStyle w:val="ASQC"/>
      </w:pPr>
      <w:r>
        <w:t xml:space="preserve">It is perhaps not surprising that in the circumstances no specific reference was made to </w:t>
      </w:r>
      <w:r w:rsidRPr="00BE0CB8">
        <w:rPr>
          <w:i/>
        </w:rPr>
        <w:t>Waddington</w:t>
      </w:r>
      <w:r>
        <w:t xml:space="preserve">.  However, the point was made by Brett J in </w:t>
      </w:r>
      <w:proofErr w:type="spellStart"/>
      <w:r w:rsidRPr="00BE0CB8">
        <w:rPr>
          <w:i/>
        </w:rPr>
        <w:t>Aspinall</w:t>
      </w:r>
      <w:proofErr w:type="spellEnd"/>
      <w:r>
        <w:rPr>
          <w:i/>
        </w:rPr>
        <w:t>:</w:t>
      </w:r>
      <w:r>
        <w:rPr>
          <w:rStyle w:val="FootnoteReference"/>
          <w:i/>
        </w:rPr>
        <w:footnoteReference w:id="74"/>
      </w:r>
    </w:p>
    <w:p w:rsidR="00B152D7" w:rsidRDefault="00B152D7" w:rsidP="00BE0CB8">
      <w:pPr>
        <w:pStyle w:val="ASQC"/>
        <w:numPr>
          <w:ilvl w:val="0"/>
          <w:numId w:val="0"/>
        </w:numPr>
        <w:ind w:left="851"/>
        <w:rPr>
          <w:i/>
          <w:sz w:val="22"/>
          <w:szCs w:val="22"/>
        </w:rPr>
      </w:pPr>
    </w:p>
    <w:p w:rsidR="00BE0CB8" w:rsidRPr="00B152D7" w:rsidRDefault="00BE0CB8" w:rsidP="00BE0CB8">
      <w:pPr>
        <w:pStyle w:val="ASQC"/>
        <w:numPr>
          <w:ilvl w:val="0"/>
          <w:numId w:val="0"/>
        </w:numPr>
        <w:ind w:left="851"/>
        <w:rPr>
          <w:sz w:val="22"/>
          <w:szCs w:val="22"/>
        </w:rPr>
      </w:pPr>
      <w:r w:rsidRPr="00B152D7">
        <w:rPr>
          <w:i/>
          <w:sz w:val="22"/>
          <w:szCs w:val="22"/>
        </w:rPr>
        <w:t xml:space="preserve">“If any person were cheated by false pretences into purchasing a commodity which but for such falsehood he would not have purchased, it is understood that he could maintain some suit for relief or remedy on the falsehood and fraud thus </w:t>
      </w:r>
      <w:r w:rsidR="00B152D7" w:rsidRPr="00B152D7">
        <w:rPr>
          <w:i/>
          <w:sz w:val="22"/>
          <w:szCs w:val="22"/>
        </w:rPr>
        <w:t>perpetrated</w:t>
      </w:r>
      <w:r w:rsidRPr="00B152D7">
        <w:rPr>
          <w:i/>
          <w:sz w:val="22"/>
          <w:szCs w:val="22"/>
        </w:rPr>
        <w:t xml:space="preserve"> on him. This is the case of </w:t>
      </w:r>
      <w:r w:rsidRPr="00B152D7">
        <w:rPr>
          <w:sz w:val="22"/>
          <w:szCs w:val="22"/>
        </w:rPr>
        <w:t xml:space="preserve">De </w:t>
      </w:r>
      <w:proofErr w:type="spellStart"/>
      <w:r w:rsidRPr="00B152D7">
        <w:rPr>
          <w:sz w:val="22"/>
          <w:szCs w:val="22"/>
        </w:rPr>
        <w:t>Berenger</w:t>
      </w:r>
      <w:proofErr w:type="spellEnd"/>
      <w:r w:rsidRPr="00B152D7">
        <w:rPr>
          <w:i/>
          <w:sz w:val="22"/>
          <w:szCs w:val="22"/>
        </w:rPr>
        <w:t xml:space="preserve">. It was there held that it was a criminal conspiracy to agree to endeavour to raise the price of public funds on a particular day by false rumours. This was not because it is an injury to the public to raise the value </w:t>
      </w:r>
      <w:r w:rsidR="00B152D7" w:rsidRPr="00B152D7">
        <w:rPr>
          <w:i/>
          <w:sz w:val="22"/>
          <w:szCs w:val="22"/>
        </w:rPr>
        <w:t>of public funds; but because it is fraudul</w:t>
      </w:r>
      <w:r w:rsidRPr="00B152D7">
        <w:rPr>
          <w:i/>
          <w:sz w:val="22"/>
          <w:szCs w:val="22"/>
        </w:rPr>
        <w:t>ent against those who purchase a vendible commodity in the market to raise the price of it at the time they purchase it by fraudulent falsehoods on which they intended to act. The conspiracy was held to be criminal, not because the art</w:t>
      </w:r>
      <w:r w:rsidR="00B152D7" w:rsidRPr="00B152D7">
        <w:rPr>
          <w:i/>
          <w:sz w:val="22"/>
          <w:szCs w:val="22"/>
        </w:rPr>
        <w:t>icle to be dealt in was the publ</w:t>
      </w:r>
      <w:r w:rsidRPr="00B152D7">
        <w:rPr>
          <w:i/>
          <w:sz w:val="22"/>
          <w:szCs w:val="22"/>
        </w:rPr>
        <w:t xml:space="preserve">ic funds, but because the public funds were a vendible commodity. </w:t>
      </w:r>
    </w:p>
    <w:p w:rsidR="00BE0CB8" w:rsidRPr="00B152D7" w:rsidRDefault="00BE0CB8" w:rsidP="00B152D7">
      <w:pPr>
        <w:pStyle w:val="ASQC"/>
        <w:numPr>
          <w:ilvl w:val="0"/>
          <w:numId w:val="0"/>
        </w:numPr>
        <w:ind w:left="851"/>
        <w:rPr>
          <w:sz w:val="22"/>
          <w:szCs w:val="22"/>
        </w:rPr>
      </w:pPr>
      <w:r w:rsidRPr="00B152D7">
        <w:rPr>
          <w:i/>
          <w:sz w:val="22"/>
          <w:szCs w:val="22"/>
        </w:rPr>
        <w:t xml:space="preserve">. . . .  </w:t>
      </w:r>
      <w:proofErr w:type="gramStart"/>
      <w:r w:rsidRPr="00B152D7">
        <w:rPr>
          <w:i/>
          <w:sz w:val="22"/>
          <w:szCs w:val="22"/>
        </w:rPr>
        <w:t>judges</w:t>
      </w:r>
      <w:proofErr w:type="gramEnd"/>
      <w:r w:rsidRPr="00B152D7">
        <w:rPr>
          <w:i/>
          <w:sz w:val="22"/>
          <w:szCs w:val="22"/>
        </w:rPr>
        <w:t xml:space="preserve"> are </w:t>
      </w:r>
      <w:r w:rsidR="00B152D7" w:rsidRPr="00B152D7">
        <w:rPr>
          <w:i/>
          <w:sz w:val="22"/>
          <w:szCs w:val="22"/>
        </w:rPr>
        <w:t>entitled</w:t>
      </w:r>
      <w:r w:rsidRPr="00B152D7">
        <w:rPr>
          <w:i/>
          <w:sz w:val="22"/>
          <w:szCs w:val="22"/>
        </w:rPr>
        <w:t xml:space="preserve"> and bound to take </w:t>
      </w:r>
      <w:r w:rsidR="00B152D7" w:rsidRPr="00B152D7">
        <w:rPr>
          <w:i/>
          <w:sz w:val="22"/>
          <w:szCs w:val="22"/>
        </w:rPr>
        <w:t>judicial</w:t>
      </w:r>
      <w:r w:rsidRPr="00B152D7">
        <w:rPr>
          <w:i/>
          <w:sz w:val="22"/>
          <w:szCs w:val="22"/>
        </w:rPr>
        <w:t xml:space="preserve"> note of that wh</w:t>
      </w:r>
      <w:r w:rsidR="00B152D7" w:rsidRPr="00B152D7">
        <w:rPr>
          <w:i/>
          <w:sz w:val="22"/>
          <w:szCs w:val="22"/>
        </w:rPr>
        <w:t>ich is common knowledge of the gre</w:t>
      </w:r>
      <w:r w:rsidRPr="00B152D7">
        <w:rPr>
          <w:i/>
          <w:sz w:val="22"/>
          <w:szCs w:val="22"/>
        </w:rPr>
        <w:t>at majority of mankind and the great majority of men of business . . . that shares in limited companies are a vendible commodity.</w:t>
      </w:r>
      <w:r w:rsidR="00B152D7" w:rsidRPr="00B152D7">
        <w:rPr>
          <w:i/>
          <w:sz w:val="22"/>
          <w:szCs w:val="22"/>
        </w:rPr>
        <w:t>”</w:t>
      </w:r>
      <w:r w:rsidRPr="00B152D7">
        <w:rPr>
          <w:i/>
          <w:sz w:val="22"/>
          <w:szCs w:val="22"/>
        </w:rPr>
        <w:t xml:space="preserve">   </w:t>
      </w:r>
    </w:p>
    <w:p w:rsidR="00926EC4" w:rsidRPr="00E2289F" w:rsidRDefault="00926EC4" w:rsidP="00926EC4">
      <w:pPr>
        <w:pStyle w:val="ListParagraph"/>
        <w:spacing w:line="240" w:lineRule="auto"/>
        <w:ind w:left="567"/>
        <w:rPr>
          <w:sz w:val="24"/>
          <w:szCs w:val="24"/>
        </w:rPr>
      </w:pPr>
    </w:p>
    <w:p w:rsidR="00F80C22" w:rsidRPr="00556AD5" w:rsidRDefault="005B7E17" w:rsidP="00BD6513">
      <w:pPr>
        <w:pStyle w:val="ListParagraph"/>
        <w:numPr>
          <w:ilvl w:val="0"/>
          <w:numId w:val="11"/>
        </w:numPr>
        <w:ind w:hanging="720"/>
        <w:rPr>
          <w:sz w:val="24"/>
          <w:szCs w:val="24"/>
        </w:rPr>
      </w:pPr>
      <w:r w:rsidRPr="00556AD5">
        <w:rPr>
          <w:sz w:val="24"/>
          <w:szCs w:val="24"/>
        </w:rPr>
        <w:t>More recently</w:t>
      </w:r>
      <w:r w:rsidR="00F25CC7" w:rsidRPr="00556AD5">
        <w:rPr>
          <w:sz w:val="24"/>
          <w:szCs w:val="24"/>
        </w:rPr>
        <w:t>,</w:t>
      </w:r>
      <w:r w:rsidRPr="00556AD5">
        <w:rPr>
          <w:sz w:val="24"/>
          <w:szCs w:val="24"/>
        </w:rPr>
        <w:t xml:space="preserve"> in </w:t>
      </w:r>
      <w:r w:rsidRPr="00556AD5">
        <w:rPr>
          <w:i/>
          <w:sz w:val="24"/>
          <w:szCs w:val="24"/>
        </w:rPr>
        <w:t>Kamara</w:t>
      </w:r>
      <w:r w:rsidRPr="00556AD5">
        <w:rPr>
          <w:sz w:val="24"/>
          <w:szCs w:val="24"/>
        </w:rPr>
        <w:t xml:space="preserve"> </w:t>
      </w:r>
      <w:r w:rsidR="00F25CC7" w:rsidRPr="00556AD5">
        <w:rPr>
          <w:sz w:val="24"/>
          <w:szCs w:val="24"/>
        </w:rPr>
        <w:t xml:space="preserve">(1974) </w:t>
      </w:r>
      <w:r w:rsidRPr="00556AD5">
        <w:rPr>
          <w:sz w:val="24"/>
          <w:szCs w:val="24"/>
        </w:rPr>
        <w:t xml:space="preserve">Lord </w:t>
      </w:r>
      <w:proofErr w:type="spellStart"/>
      <w:r w:rsidR="00F25CC7" w:rsidRPr="00556AD5">
        <w:rPr>
          <w:sz w:val="24"/>
          <w:szCs w:val="24"/>
        </w:rPr>
        <w:t>Halisham</w:t>
      </w:r>
      <w:proofErr w:type="spellEnd"/>
      <w:r w:rsidR="00F25CC7" w:rsidRPr="00556AD5">
        <w:rPr>
          <w:sz w:val="24"/>
          <w:szCs w:val="24"/>
        </w:rPr>
        <w:t xml:space="preserve"> </w:t>
      </w:r>
      <w:r w:rsidRPr="00556AD5">
        <w:rPr>
          <w:sz w:val="24"/>
          <w:szCs w:val="24"/>
        </w:rPr>
        <w:t xml:space="preserve">stated that the unlawfulness of combinations of merchants rigging the markets </w:t>
      </w:r>
      <w:r w:rsidR="00F25CC7" w:rsidRPr="00556AD5">
        <w:rPr>
          <w:sz w:val="24"/>
          <w:szCs w:val="24"/>
        </w:rPr>
        <w:t>was extant</w:t>
      </w:r>
      <w:r w:rsidRPr="00556AD5">
        <w:rPr>
          <w:sz w:val="24"/>
          <w:szCs w:val="24"/>
        </w:rPr>
        <w:t>.</w:t>
      </w:r>
      <w:r w:rsidRPr="00556AD5">
        <w:rPr>
          <w:rStyle w:val="FootnoteReference"/>
          <w:sz w:val="24"/>
          <w:szCs w:val="24"/>
        </w:rPr>
        <w:footnoteReference w:id="75"/>
      </w:r>
      <w:r w:rsidR="0038338C">
        <w:rPr>
          <w:sz w:val="24"/>
          <w:szCs w:val="24"/>
        </w:rPr>
        <w:t xml:space="preserve">  </w:t>
      </w:r>
      <w:r w:rsidR="0038338C" w:rsidRPr="0038338C">
        <w:rPr>
          <w:i/>
          <w:sz w:val="24"/>
          <w:szCs w:val="24"/>
        </w:rPr>
        <w:t xml:space="preserve">De </w:t>
      </w:r>
      <w:proofErr w:type="spellStart"/>
      <w:r w:rsidR="0038338C" w:rsidRPr="0038338C">
        <w:rPr>
          <w:i/>
          <w:sz w:val="24"/>
          <w:szCs w:val="24"/>
        </w:rPr>
        <w:t>Berenger</w:t>
      </w:r>
      <w:proofErr w:type="spellEnd"/>
      <w:r w:rsidR="0038338C">
        <w:rPr>
          <w:sz w:val="24"/>
          <w:szCs w:val="24"/>
        </w:rPr>
        <w:t xml:space="preserve"> </w:t>
      </w:r>
      <w:r w:rsidR="00B152D7">
        <w:rPr>
          <w:sz w:val="24"/>
          <w:szCs w:val="24"/>
        </w:rPr>
        <w:t xml:space="preserve">(and to </w:t>
      </w:r>
      <w:r w:rsidR="00B152D7">
        <w:rPr>
          <w:sz w:val="24"/>
          <w:szCs w:val="24"/>
        </w:rPr>
        <w:lastRenderedPageBreak/>
        <w:t xml:space="preserve">that extent the </w:t>
      </w:r>
      <w:r w:rsidR="00B152D7" w:rsidRPr="00B152D7">
        <w:rPr>
          <w:sz w:val="24"/>
          <w:szCs w:val="24"/>
        </w:rPr>
        <w:t>forestalling</w:t>
      </w:r>
      <w:r w:rsidR="00B152D7">
        <w:rPr>
          <w:sz w:val="24"/>
          <w:szCs w:val="24"/>
        </w:rPr>
        <w:t xml:space="preserve"> proviso) remains good law</w:t>
      </w:r>
      <w:r w:rsidR="0038338C">
        <w:rPr>
          <w:rStyle w:val="FootnoteReference"/>
          <w:sz w:val="24"/>
          <w:szCs w:val="24"/>
        </w:rPr>
        <w:footnoteReference w:id="76"/>
      </w:r>
      <w:r w:rsidR="0038338C">
        <w:rPr>
          <w:sz w:val="24"/>
          <w:szCs w:val="24"/>
        </w:rPr>
        <w:t xml:space="preserve"> </w:t>
      </w:r>
      <w:r w:rsidR="00B152D7">
        <w:rPr>
          <w:sz w:val="24"/>
          <w:szCs w:val="24"/>
        </w:rPr>
        <w:t xml:space="preserve">although the manipulation of stock and other markets are now </w:t>
      </w:r>
      <w:r w:rsidR="00B152D7" w:rsidRPr="00556AD5">
        <w:rPr>
          <w:sz w:val="24"/>
          <w:szCs w:val="24"/>
        </w:rPr>
        <w:t>covered by statute.</w:t>
      </w:r>
      <w:r w:rsidR="00B152D7" w:rsidRPr="00556AD5">
        <w:rPr>
          <w:rStyle w:val="FootnoteReference"/>
          <w:sz w:val="24"/>
          <w:szCs w:val="24"/>
        </w:rPr>
        <w:footnoteReference w:id="77"/>
      </w:r>
    </w:p>
    <w:p w:rsidR="00677357" w:rsidRPr="00556AD5" w:rsidRDefault="00677357" w:rsidP="00677357">
      <w:pPr>
        <w:pStyle w:val="ListParagraph"/>
        <w:rPr>
          <w:sz w:val="24"/>
          <w:szCs w:val="24"/>
        </w:rPr>
      </w:pPr>
    </w:p>
    <w:p w:rsidR="00677357" w:rsidRPr="00556AD5" w:rsidRDefault="00677357" w:rsidP="00677357">
      <w:pPr>
        <w:ind w:left="567" w:hanging="207"/>
        <w:rPr>
          <w:b/>
          <w:sz w:val="24"/>
          <w:szCs w:val="24"/>
        </w:rPr>
      </w:pPr>
      <w:r w:rsidRPr="00556AD5">
        <w:rPr>
          <w:b/>
          <w:sz w:val="24"/>
          <w:szCs w:val="24"/>
        </w:rPr>
        <w:t>PART 2: CONSPIRACY TO DEFRAUD</w:t>
      </w:r>
    </w:p>
    <w:p w:rsidR="00556AD5" w:rsidRPr="00B152D7" w:rsidRDefault="00556AD5" w:rsidP="00B152D7">
      <w:pPr>
        <w:pStyle w:val="Para"/>
        <w:numPr>
          <w:ilvl w:val="0"/>
          <w:numId w:val="11"/>
        </w:numPr>
        <w:tabs>
          <w:tab w:val="clear" w:pos="360"/>
          <w:tab w:val="left" w:pos="567"/>
        </w:tabs>
        <w:ind w:left="567" w:hanging="567"/>
        <w:rPr>
          <w:rFonts w:asciiTheme="minorHAnsi" w:hAnsiTheme="minorHAnsi"/>
          <w:sz w:val="24"/>
        </w:rPr>
      </w:pPr>
      <w:r w:rsidRPr="00B152D7">
        <w:rPr>
          <w:rFonts w:asciiTheme="minorHAnsi" w:hAnsiTheme="minorHAnsi"/>
          <w:sz w:val="24"/>
        </w:rPr>
        <w:t>Today, the common law interacts with markets in the criminal justice system principally through conspiracy to defraud</w:t>
      </w:r>
      <w:r w:rsidR="00B152D7">
        <w:rPr>
          <w:rFonts w:asciiTheme="minorHAnsi" w:hAnsiTheme="minorHAnsi"/>
          <w:sz w:val="24"/>
        </w:rPr>
        <w:t>.</w:t>
      </w:r>
      <w:r w:rsidRPr="00B152D7">
        <w:rPr>
          <w:rStyle w:val="FootnoteReference"/>
          <w:rFonts w:asciiTheme="minorHAnsi" w:hAnsiTheme="minorHAnsi"/>
          <w:b/>
          <w:sz w:val="24"/>
        </w:rPr>
        <w:footnoteReference w:id="78"/>
      </w:r>
      <w:r w:rsidR="00B152D7">
        <w:rPr>
          <w:rFonts w:asciiTheme="minorHAnsi" w:hAnsiTheme="minorHAnsi"/>
          <w:sz w:val="24"/>
        </w:rPr>
        <w:t xml:space="preserve"> </w:t>
      </w:r>
      <w:r w:rsidRPr="00B152D7">
        <w:rPr>
          <w:rFonts w:asciiTheme="minorHAnsi" w:hAnsiTheme="minorHAnsi"/>
          <w:sz w:val="24"/>
        </w:rPr>
        <w:t>The use of the offence in the nineteenth and early part of the twentieth century was desultory.  For the past forty or fifty years it has become commonplace.  Conspiracy has been described as the ‘</w:t>
      </w:r>
      <w:r w:rsidRPr="00B152D7">
        <w:rPr>
          <w:rFonts w:asciiTheme="minorHAnsi" w:hAnsiTheme="minorHAnsi"/>
          <w:i/>
          <w:sz w:val="24"/>
        </w:rPr>
        <w:t>prosecutor’s darling</w:t>
      </w:r>
      <w:r w:rsidRPr="00B152D7">
        <w:rPr>
          <w:rFonts w:asciiTheme="minorHAnsi" w:hAnsiTheme="minorHAnsi"/>
          <w:sz w:val="24"/>
        </w:rPr>
        <w:t>’,</w:t>
      </w:r>
      <w:r w:rsidRPr="00B152D7">
        <w:rPr>
          <w:rStyle w:val="FootnoteReference"/>
          <w:rFonts w:asciiTheme="minorHAnsi" w:hAnsiTheme="minorHAnsi"/>
          <w:b/>
          <w:sz w:val="24"/>
        </w:rPr>
        <w:footnoteReference w:id="79"/>
      </w:r>
      <w:r w:rsidRPr="00B152D7">
        <w:rPr>
          <w:rFonts w:asciiTheme="minorHAnsi" w:hAnsiTheme="minorHAnsi"/>
          <w:sz w:val="24"/>
        </w:rPr>
        <w:t xml:space="preserve"> and a ‘</w:t>
      </w:r>
      <w:r w:rsidRPr="00B152D7">
        <w:rPr>
          <w:rFonts w:asciiTheme="minorHAnsi" w:hAnsiTheme="minorHAnsi"/>
          <w:i/>
          <w:sz w:val="24"/>
        </w:rPr>
        <w:t>not yet rusty, and still trusty’</w:t>
      </w:r>
      <w:r w:rsidRPr="00B152D7">
        <w:rPr>
          <w:rFonts w:asciiTheme="minorHAnsi" w:hAnsiTheme="minorHAnsi"/>
          <w:sz w:val="24"/>
        </w:rPr>
        <w:t xml:space="preserve"> companion,</w:t>
      </w:r>
      <w:r w:rsidRPr="00B152D7">
        <w:rPr>
          <w:rStyle w:val="FootnoteReference"/>
          <w:rFonts w:asciiTheme="minorHAnsi" w:hAnsiTheme="minorHAnsi"/>
          <w:b/>
          <w:sz w:val="24"/>
        </w:rPr>
        <w:footnoteReference w:id="80"/>
      </w:r>
      <w:r w:rsidRPr="00B152D7">
        <w:rPr>
          <w:rFonts w:asciiTheme="minorHAnsi" w:hAnsiTheme="minorHAnsi"/>
          <w:sz w:val="24"/>
        </w:rPr>
        <w:t xml:space="preserve"> whose retention has been strongly advocated by most prosecution authorities.</w:t>
      </w:r>
      <w:r w:rsidRPr="00B152D7">
        <w:rPr>
          <w:rStyle w:val="FootnoteReference"/>
          <w:rFonts w:asciiTheme="minorHAnsi" w:hAnsiTheme="minorHAnsi"/>
          <w:b/>
          <w:sz w:val="24"/>
        </w:rPr>
        <w:footnoteReference w:id="81"/>
      </w:r>
      <w:r w:rsidRPr="00B152D7">
        <w:rPr>
          <w:rFonts w:asciiTheme="minorHAnsi" w:hAnsiTheme="minorHAnsi"/>
          <w:sz w:val="24"/>
        </w:rPr>
        <w:t xml:space="preserve">  It is easy to see why. It is a broad offence.  It can cover in one count, multiple examples of fraudulent conduct which would be tedious or onerous to indict separately.  It allows a jury to be presented with an overarching narrative of criminal misconduct. </w:t>
      </w:r>
      <w:r w:rsidRPr="00B152D7">
        <w:rPr>
          <w:rStyle w:val="FootnoteReference"/>
          <w:rFonts w:asciiTheme="minorHAnsi" w:hAnsiTheme="minorHAnsi"/>
          <w:b/>
          <w:sz w:val="24"/>
        </w:rPr>
        <w:footnoteReference w:id="82"/>
      </w:r>
      <w:r w:rsidRPr="00B152D7">
        <w:rPr>
          <w:rFonts w:asciiTheme="minorHAnsi" w:hAnsiTheme="minorHAnsi"/>
          <w:sz w:val="24"/>
        </w:rPr>
        <w:t xml:space="preserve">  In appropriate circumstances it can allow for the imposition </w:t>
      </w:r>
      <w:proofErr w:type="gramStart"/>
      <w:r w:rsidRPr="00B152D7">
        <w:rPr>
          <w:rFonts w:asciiTheme="minorHAnsi" w:hAnsiTheme="minorHAnsi"/>
          <w:sz w:val="24"/>
        </w:rPr>
        <w:t>of a greater penalties</w:t>
      </w:r>
      <w:proofErr w:type="gramEnd"/>
      <w:r w:rsidRPr="00B152D7">
        <w:rPr>
          <w:rFonts w:asciiTheme="minorHAnsi" w:hAnsiTheme="minorHAnsi"/>
          <w:sz w:val="24"/>
        </w:rPr>
        <w:t xml:space="preserve"> than those imposed by lesser statutory offences.</w:t>
      </w:r>
    </w:p>
    <w:p w:rsidR="00556AD5" w:rsidRPr="00556AD5" w:rsidRDefault="00556AD5" w:rsidP="00556AD5">
      <w:pPr>
        <w:pStyle w:val="Para"/>
        <w:tabs>
          <w:tab w:val="clear" w:pos="360"/>
          <w:tab w:val="left" w:pos="567"/>
        </w:tabs>
        <w:ind w:left="567" w:firstLine="0"/>
        <w:rPr>
          <w:rFonts w:asciiTheme="minorHAnsi" w:hAnsiTheme="minorHAnsi"/>
          <w:sz w:val="24"/>
        </w:rPr>
      </w:pPr>
    </w:p>
    <w:p w:rsidR="00BD6C5B" w:rsidRPr="00556AD5" w:rsidRDefault="00556AD5" w:rsidP="005C19CA">
      <w:pPr>
        <w:pStyle w:val="Para"/>
        <w:numPr>
          <w:ilvl w:val="0"/>
          <w:numId w:val="11"/>
        </w:numPr>
        <w:tabs>
          <w:tab w:val="clear" w:pos="360"/>
          <w:tab w:val="left" w:pos="567"/>
        </w:tabs>
        <w:ind w:left="567" w:hanging="567"/>
        <w:rPr>
          <w:rFonts w:asciiTheme="minorHAnsi" w:hAnsiTheme="minorHAnsi"/>
          <w:sz w:val="24"/>
        </w:rPr>
      </w:pPr>
      <w:r w:rsidRPr="00556AD5">
        <w:rPr>
          <w:rFonts w:asciiTheme="minorHAnsi" w:hAnsiTheme="minorHAnsi"/>
          <w:sz w:val="24"/>
        </w:rPr>
        <w:t xml:space="preserve">However, </w:t>
      </w:r>
      <w:r w:rsidRPr="00556AD5">
        <w:rPr>
          <w:rFonts w:ascii="Calibri" w:hAnsi="Calibri"/>
          <w:sz w:val="24"/>
        </w:rPr>
        <w:t xml:space="preserve">the offence can cause real problems for any prosecution which misunderstands its development, ambit and limits.   The </w:t>
      </w:r>
      <w:r w:rsidRPr="00556AD5">
        <w:rPr>
          <w:rFonts w:ascii="Calibri" w:hAnsi="Calibri"/>
          <w:i/>
          <w:sz w:val="24"/>
        </w:rPr>
        <w:t>Jubilee Line</w:t>
      </w:r>
      <w:r w:rsidRPr="00556AD5">
        <w:rPr>
          <w:rStyle w:val="FootnoteReference"/>
          <w:rFonts w:ascii="Calibri" w:hAnsi="Calibri"/>
          <w:i/>
          <w:sz w:val="24"/>
        </w:rPr>
        <w:footnoteReference w:id="83"/>
      </w:r>
      <w:r w:rsidRPr="00556AD5">
        <w:rPr>
          <w:rFonts w:ascii="Calibri" w:hAnsi="Calibri"/>
          <w:sz w:val="24"/>
        </w:rPr>
        <w:t xml:space="preserve">, </w:t>
      </w:r>
      <w:r w:rsidRPr="00556AD5">
        <w:rPr>
          <w:rFonts w:ascii="Calibri" w:hAnsi="Calibri"/>
          <w:i/>
          <w:sz w:val="24"/>
        </w:rPr>
        <w:t>Norris</w:t>
      </w:r>
      <w:r w:rsidRPr="00556AD5">
        <w:rPr>
          <w:rFonts w:ascii="Calibri" w:hAnsi="Calibri"/>
          <w:sz w:val="24"/>
        </w:rPr>
        <w:t xml:space="preserve">, </w:t>
      </w:r>
      <w:r w:rsidRPr="00556AD5">
        <w:rPr>
          <w:rFonts w:ascii="Calibri" w:hAnsi="Calibri"/>
          <w:i/>
          <w:sz w:val="24"/>
        </w:rPr>
        <w:t>Goldshield,</w:t>
      </w:r>
      <w:r w:rsidRPr="00556AD5">
        <w:rPr>
          <w:rFonts w:ascii="Calibri" w:hAnsi="Calibri"/>
          <w:sz w:val="24"/>
        </w:rPr>
        <w:t xml:space="preserve"> </w:t>
      </w:r>
      <w:r w:rsidRPr="00556AD5">
        <w:rPr>
          <w:rFonts w:ascii="Calibri" w:hAnsi="Calibri"/>
          <w:i/>
          <w:sz w:val="24"/>
        </w:rPr>
        <w:t>Evans</w:t>
      </w:r>
      <w:r w:rsidRPr="00556AD5">
        <w:rPr>
          <w:rFonts w:ascii="Calibri" w:hAnsi="Calibri"/>
          <w:sz w:val="24"/>
        </w:rPr>
        <w:t xml:space="preserve"> and </w:t>
      </w:r>
      <w:proofErr w:type="spellStart"/>
      <w:r w:rsidRPr="00556AD5">
        <w:rPr>
          <w:rFonts w:ascii="Calibri" w:hAnsi="Calibri"/>
          <w:i/>
          <w:sz w:val="24"/>
        </w:rPr>
        <w:t>Quillan</w:t>
      </w:r>
      <w:proofErr w:type="spellEnd"/>
      <w:r w:rsidRPr="00556AD5">
        <w:rPr>
          <w:rStyle w:val="FootnoteReference"/>
          <w:rFonts w:ascii="Calibri" w:hAnsi="Calibri"/>
          <w:sz w:val="24"/>
        </w:rPr>
        <w:footnoteReference w:id="84"/>
      </w:r>
      <w:r w:rsidRPr="00556AD5">
        <w:rPr>
          <w:rFonts w:ascii="Calibri" w:hAnsi="Calibri"/>
          <w:sz w:val="24"/>
        </w:rPr>
        <w:t xml:space="preserve"> are recent examples. </w:t>
      </w:r>
      <w:r w:rsidRPr="00556AD5">
        <w:rPr>
          <w:sz w:val="24"/>
        </w:rPr>
        <w:t xml:space="preserve"> </w:t>
      </w:r>
    </w:p>
    <w:p w:rsidR="00BD6C5B" w:rsidRPr="00556AD5" w:rsidRDefault="00BD6C5B" w:rsidP="00BD6C5B">
      <w:pPr>
        <w:pStyle w:val="Para"/>
        <w:tabs>
          <w:tab w:val="clear" w:pos="360"/>
          <w:tab w:val="left" w:pos="567"/>
        </w:tabs>
        <w:ind w:left="567" w:firstLine="0"/>
        <w:rPr>
          <w:rFonts w:asciiTheme="minorHAnsi" w:hAnsiTheme="minorHAnsi"/>
          <w:sz w:val="24"/>
        </w:rPr>
      </w:pPr>
    </w:p>
    <w:p w:rsidR="002F3B84" w:rsidRPr="00556AD5" w:rsidRDefault="002F3B84" w:rsidP="005C19CA">
      <w:pPr>
        <w:pStyle w:val="Para"/>
        <w:numPr>
          <w:ilvl w:val="0"/>
          <w:numId w:val="11"/>
        </w:numPr>
        <w:tabs>
          <w:tab w:val="clear" w:pos="360"/>
          <w:tab w:val="left" w:pos="567"/>
        </w:tabs>
        <w:ind w:left="567" w:hanging="567"/>
        <w:rPr>
          <w:rFonts w:asciiTheme="minorHAnsi" w:hAnsiTheme="minorHAnsi"/>
          <w:sz w:val="24"/>
        </w:rPr>
      </w:pPr>
      <w:r w:rsidRPr="00556AD5">
        <w:rPr>
          <w:rFonts w:asciiTheme="minorHAnsi" w:hAnsiTheme="minorHAnsi"/>
          <w:sz w:val="24"/>
        </w:rPr>
        <w:t xml:space="preserve">The classic definition of conspiracy to defraud derives from Viscount </w:t>
      </w:r>
      <w:proofErr w:type="spellStart"/>
      <w:r w:rsidRPr="00556AD5">
        <w:rPr>
          <w:rFonts w:asciiTheme="minorHAnsi" w:hAnsiTheme="minorHAnsi"/>
          <w:sz w:val="24"/>
        </w:rPr>
        <w:t>Dilhorne’s</w:t>
      </w:r>
      <w:proofErr w:type="spellEnd"/>
      <w:r w:rsidRPr="00556AD5">
        <w:rPr>
          <w:rFonts w:asciiTheme="minorHAnsi" w:hAnsiTheme="minorHAnsi"/>
          <w:sz w:val="24"/>
        </w:rPr>
        <w:t xml:space="preserve"> speech in </w:t>
      </w:r>
      <w:r w:rsidRPr="00556AD5">
        <w:rPr>
          <w:rFonts w:asciiTheme="minorHAnsi" w:hAnsiTheme="minorHAnsi"/>
          <w:i/>
          <w:sz w:val="24"/>
        </w:rPr>
        <w:t>Scott v Metropolitan Police Commissioner:</w:t>
      </w:r>
      <w:r w:rsidRPr="00556AD5">
        <w:rPr>
          <w:rStyle w:val="FootnoteReference"/>
          <w:rFonts w:asciiTheme="minorHAnsi" w:hAnsiTheme="minorHAnsi"/>
          <w:b/>
          <w:kern w:val="28"/>
          <w:sz w:val="24"/>
        </w:rPr>
        <w:footnoteReference w:id="85"/>
      </w:r>
    </w:p>
    <w:p w:rsidR="002F3B84" w:rsidRPr="00556AD5" w:rsidRDefault="002F3B84" w:rsidP="002F3B84">
      <w:pPr>
        <w:pStyle w:val="Para"/>
        <w:ind w:left="720" w:firstLine="0"/>
        <w:rPr>
          <w:rFonts w:asciiTheme="minorHAnsi" w:hAnsiTheme="minorHAnsi"/>
          <w:sz w:val="24"/>
        </w:rPr>
      </w:pPr>
    </w:p>
    <w:p w:rsidR="002F3B84" w:rsidRPr="00556AD5" w:rsidRDefault="002F3B84" w:rsidP="002F3B84">
      <w:pPr>
        <w:pStyle w:val="Extract"/>
        <w:ind w:left="720"/>
        <w:rPr>
          <w:rFonts w:asciiTheme="minorHAnsi" w:hAnsiTheme="minorHAnsi"/>
          <w:i/>
          <w:sz w:val="24"/>
        </w:rPr>
      </w:pPr>
      <w:r w:rsidRPr="00556AD5">
        <w:rPr>
          <w:rFonts w:asciiTheme="minorHAnsi" w:hAnsiTheme="minorHAnsi"/>
          <w:i/>
          <w:sz w:val="22"/>
        </w:rPr>
        <w:t xml:space="preserve">…it is clearly the law that an agreement by two or more by dishonesty to deprive a person of something which is his or to which he is or would be or might be entitled and </w:t>
      </w:r>
      <w:r w:rsidRPr="00556AD5">
        <w:rPr>
          <w:rFonts w:asciiTheme="minorHAnsi" w:hAnsiTheme="minorHAnsi"/>
          <w:i/>
          <w:sz w:val="22"/>
        </w:rPr>
        <w:lastRenderedPageBreak/>
        <w:t xml:space="preserve">an agreement by two or more by dishonesty to injure some proprietary right of </w:t>
      </w:r>
      <w:proofErr w:type="gramStart"/>
      <w:r w:rsidRPr="00556AD5">
        <w:rPr>
          <w:rFonts w:asciiTheme="minorHAnsi" w:hAnsiTheme="minorHAnsi"/>
          <w:i/>
          <w:sz w:val="22"/>
        </w:rPr>
        <w:t>his,</w:t>
      </w:r>
      <w:proofErr w:type="gramEnd"/>
      <w:r w:rsidRPr="00556AD5">
        <w:rPr>
          <w:rFonts w:asciiTheme="minorHAnsi" w:hAnsiTheme="minorHAnsi"/>
          <w:i/>
          <w:sz w:val="22"/>
        </w:rPr>
        <w:t xml:space="preserve"> suffices to constitute the offence of conspiracy to defraud</w:t>
      </w:r>
      <w:r w:rsidRPr="00556AD5">
        <w:rPr>
          <w:rFonts w:asciiTheme="minorHAnsi" w:hAnsiTheme="minorHAnsi"/>
          <w:i/>
          <w:sz w:val="24"/>
        </w:rPr>
        <w:t>.</w:t>
      </w:r>
      <w:r w:rsidRPr="00556AD5">
        <w:rPr>
          <w:rStyle w:val="FootnoteReference"/>
          <w:rFonts w:asciiTheme="minorHAnsi" w:hAnsiTheme="minorHAnsi"/>
          <w:sz w:val="24"/>
        </w:rPr>
        <w:footnoteReference w:id="86"/>
      </w:r>
    </w:p>
    <w:p w:rsidR="00B152D7" w:rsidRPr="00B152D7" w:rsidRDefault="00B152D7" w:rsidP="00B152D7">
      <w:pPr>
        <w:pStyle w:val="ListParagraph"/>
        <w:spacing w:line="240" w:lineRule="auto"/>
        <w:ind w:left="567"/>
        <w:rPr>
          <w:sz w:val="24"/>
        </w:rPr>
      </w:pPr>
    </w:p>
    <w:p w:rsidR="002F3B84" w:rsidRPr="00556AD5" w:rsidRDefault="006464A0" w:rsidP="005C19CA">
      <w:pPr>
        <w:pStyle w:val="ListParagraph"/>
        <w:numPr>
          <w:ilvl w:val="0"/>
          <w:numId w:val="11"/>
        </w:numPr>
        <w:spacing w:line="240" w:lineRule="auto"/>
        <w:ind w:left="567" w:hanging="567"/>
        <w:rPr>
          <w:sz w:val="24"/>
        </w:rPr>
      </w:pPr>
      <w:r w:rsidRPr="00556AD5">
        <w:rPr>
          <w:i/>
          <w:sz w:val="24"/>
        </w:rPr>
        <w:t>Scott</w:t>
      </w:r>
      <w:r w:rsidR="002F3B84" w:rsidRPr="00556AD5">
        <w:rPr>
          <w:sz w:val="24"/>
        </w:rPr>
        <w:t xml:space="preserve"> reflects the earlier decision of the House in </w:t>
      </w:r>
      <w:proofErr w:type="spellStart"/>
      <w:r w:rsidR="002F3B84" w:rsidRPr="00556AD5">
        <w:rPr>
          <w:i/>
          <w:sz w:val="24"/>
        </w:rPr>
        <w:t>Welham</w:t>
      </w:r>
      <w:proofErr w:type="spellEnd"/>
      <w:r w:rsidR="002F3B84" w:rsidRPr="00556AD5">
        <w:rPr>
          <w:i/>
          <w:sz w:val="24"/>
        </w:rPr>
        <w:t xml:space="preserve"> v DPP</w:t>
      </w:r>
      <w:r w:rsidR="002F3B84" w:rsidRPr="00556AD5">
        <w:rPr>
          <w:rStyle w:val="FootnoteReference"/>
        </w:rPr>
        <w:footnoteReference w:id="87"/>
      </w:r>
      <w:r w:rsidR="002F3B84" w:rsidRPr="00556AD5">
        <w:rPr>
          <w:i/>
          <w:sz w:val="24"/>
        </w:rPr>
        <w:t xml:space="preserve"> </w:t>
      </w:r>
      <w:r w:rsidR="002F3B84" w:rsidRPr="00556AD5">
        <w:rPr>
          <w:sz w:val="24"/>
        </w:rPr>
        <w:t xml:space="preserve"> where Lord Radcliffe said (as p 123): </w:t>
      </w:r>
    </w:p>
    <w:p w:rsidR="002F3B84" w:rsidRPr="00556AD5" w:rsidRDefault="002F3B84" w:rsidP="002F3B84">
      <w:pPr>
        <w:pStyle w:val="Extract"/>
        <w:ind w:left="720"/>
        <w:rPr>
          <w:rFonts w:asciiTheme="minorHAnsi" w:hAnsiTheme="minorHAnsi"/>
          <w:i/>
        </w:rPr>
      </w:pPr>
      <w:r w:rsidRPr="00556AD5">
        <w:rPr>
          <w:rFonts w:asciiTheme="minorHAnsi" w:hAnsiTheme="minorHAnsi"/>
          <w:i/>
        </w:rPr>
        <w:t xml:space="preserve">Now, I think that there are one or two things that can be said with confidence about the meaning of this word ‘defraud’. It requires a person as its object: that is, defrauding involves doing something to someone. Although in the nature of things it is almost invariably associated with the obtaining of an advantage for the person who commits the fraud, it is the effect upon the person who is the object of the fraud that ultimately determines its meaning… Secondly popular speech does not give, and I do not think ever has given, any sure guide as to the limits of what is meant by ‘to defraud’. It may mean to cheat someone. It may mean to </w:t>
      </w:r>
      <w:proofErr w:type="spellStart"/>
      <w:r w:rsidRPr="00556AD5">
        <w:rPr>
          <w:rFonts w:asciiTheme="minorHAnsi" w:hAnsiTheme="minorHAnsi"/>
          <w:i/>
        </w:rPr>
        <w:t>practise</w:t>
      </w:r>
      <w:proofErr w:type="spellEnd"/>
      <w:r w:rsidRPr="00556AD5">
        <w:rPr>
          <w:rFonts w:asciiTheme="minorHAnsi" w:hAnsiTheme="minorHAnsi"/>
          <w:i/>
        </w:rPr>
        <w:t xml:space="preserve"> a fraud upon someone. It may mean to deprive someone by deceit of something which is regarded as belonging to him or, though not belonging to him, as due to him or his right. It passes easily into metaphor, as does so much of the English natural speech. Murray’s New English Dictionary instances such usages as defrauding a man of his due praise or his hopes. Rudyard Kipling in the First World War wrote of our ‘angry and defrauded young’. There is nothing in any of this that suggests that to defraud is in ordinary speech confined to the idea of depriving a man by deceit of some economic advantage or inflicting upon him some economic loss. Has the law ever so confined it? In my opinion there is no warrant for saying that it has. What it has looked for in considering the effect of cheating upon another person and so in defining the criminal intent is the prejudice of that person: what Blackstone</w:t>
      </w:r>
      <w:r w:rsidRPr="00556AD5">
        <w:rPr>
          <w:rStyle w:val="FootnoteReference"/>
          <w:rFonts w:asciiTheme="minorHAnsi" w:hAnsiTheme="minorHAnsi"/>
          <w:i/>
        </w:rPr>
        <w:footnoteReference w:id="88"/>
      </w:r>
      <w:r w:rsidRPr="00556AD5">
        <w:rPr>
          <w:rFonts w:asciiTheme="minorHAnsi" w:hAnsiTheme="minorHAnsi"/>
          <w:i/>
        </w:rPr>
        <w:t xml:space="preserve"> called ‘to the prejudice of another man’s </w:t>
      </w:r>
      <w:proofErr w:type="gramStart"/>
      <w:r w:rsidRPr="00556AD5">
        <w:rPr>
          <w:rFonts w:asciiTheme="minorHAnsi" w:hAnsiTheme="minorHAnsi"/>
          <w:i/>
        </w:rPr>
        <w:t>right’.</w:t>
      </w:r>
      <w:proofErr w:type="gramEnd"/>
      <w:r w:rsidRPr="00556AD5">
        <w:rPr>
          <w:rFonts w:asciiTheme="minorHAnsi" w:hAnsiTheme="minorHAnsi"/>
          <w:i/>
        </w:rPr>
        <w:t xml:space="preserve"> East</w:t>
      </w:r>
      <w:r w:rsidRPr="00556AD5">
        <w:rPr>
          <w:rStyle w:val="FootnoteReference"/>
          <w:rFonts w:asciiTheme="minorHAnsi" w:hAnsiTheme="minorHAnsi"/>
          <w:i/>
        </w:rPr>
        <w:footnoteReference w:id="89"/>
      </w:r>
      <w:r w:rsidRPr="00556AD5">
        <w:rPr>
          <w:rFonts w:asciiTheme="minorHAnsi" w:hAnsiTheme="minorHAnsi"/>
          <w:i/>
        </w:rPr>
        <w:t xml:space="preserve"> makes the same point in the chapter on Forgery: ‘in all cases of forgery, properly so called, it is immaterial whether any person be actually injured or not, provided any may be prejudiced by it’.</w:t>
      </w:r>
      <w:r w:rsidRPr="00556AD5">
        <w:rPr>
          <w:rStyle w:val="FootnoteReference"/>
          <w:rFonts w:asciiTheme="minorHAnsi" w:hAnsiTheme="minorHAnsi"/>
          <w:i/>
        </w:rPr>
        <w:footnoteReference w:id="90"/>
      </w:r>
    </w:p>
    <w:p w:rsidR="005A7002" w:rsidRPr="00556AD5" w:rsidRDefault="005A7002" w:rsidP="002F3B84">
      <w:pPr>
        <w:pStyle w:val="Extract"/>
        <w:ind w:left="720"/>
        <w:rPr>
          <w:rFonts w:asciiTheme="minorHAnsi" w:hAnsiTheme="minorHAnsi"/>
          <w:i/>
        </w:rPr>
      </w:pPr>
    </w:p>
    <w:p w:rsidR="002C0B2A" w:rsidRPr="00556AD5" w:rsidRDefault="005A7002"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sz w:val="24"/>
          <w:szCs w:val="24"/>
        </w:rPr>
        <w:t xml:space="preserve">A further definition </w:t>
      </w:r>
      <w:r w:rsidR="00BD6C5B" w:rsidRPr="00556AD5">
        <w:rPr>
          <w:sz w:val="24"/>
          <w:szCs w:val="24"/>
        </w:rPr>
        <w:t xml:space="preserve">of some assistance </w:t>
      </w:r>
      <w:r w:rsidR="002C0B2A" w:rsidRPr="00556AD5">
        <w:rPr>
          <w:sz w:val="24"/>
          <w:szCs w:val="24"/>
        </w:rPr>
        <w:t xml:space="preserve">was that articulated by </w:t>
      </w:r>
      <w:r w:rsidR="002C0B2A" w:rsidRPr="00556AD5">
        <w:rPr>
          <w:rFonts w:cs="Arial"/>
          <w:sz w:val="24"/>
          <w:szCs w:val="24"/>
        </w:rPr>
        <w:t>L</w:t>
      </w:r>
      <w:r w:rsidR="002C0B2A" w:rsidRPr="00556AD5">
        <w:rPr>
          <w:rFonts w:cs="Times New Roman"/>
          <w:sz w:val="24"/>
          <w:szCs w:val="24"/>
        </w:rPr>
        <w:t xml:space="preserve">ord Goff of </w:t>
      </w:r>
      <w:proofErr w:type="spellStart"/>
      <w:r w:rsidR="002C0B2A" w:rsidRPr="00556AD5">
        <w:rPr>
          <w:rFonts w:cs="Times New Roman"/>
          <w:sz w:val="24"/>
          <w:szCs w:val="24"/>
        </w:rPr>
        <w:t>Chieveley</w:t>
      </w:r>
      <w:proofErr w:type="spellEnd"/>
      <w:r w:rsidR="00BD6C5B" w:rsidRPr="00556AD5">
        <w:rPr>
          <w:rFonts w:cs="Times New Roman"/>
          <w:sz w:val="24"/>
          <w:szCs w:val="24"/>
        </w:rPr>
        <w:t xml:space="preserve"> in </w:t>
      </w:r>
      <w:r w:rsidR="002C0B2A" w:rsidRPr="00556AD5">
        <w:rPr>
          <w:rFonts w:cs="Times New Roman"/>
          <w:i/>
          <w:iCs/>
          <w:sz w:val="24"/>
          <w:szCs w:val="24"/>
        </w:rPr>
        <w:t>Wai Yu-</w:t>
      </w:r>
      <w:proofErr w:type="spellStart"/>
      <w:r w:rsidR="002C0B2A" w:rsidRPr="00556AD5">
        <w:rPr>
          <w:rFonts w:cs="Times New Roman"/>
          <w:i/>
          <w:iCs/>
          <w:sz w:val="24"/>
          <w:szCs w:val="24"/>
        </w:rPr>
        <w:t>tsang</w:t>
      </w:r>
      <w:proofErr w:type="spellEnd"/>
      <w:r w:rsidR="002C0B2A" w:rsidRPr="00556AD5">
        <w:rPr>
          <w:rStyle w:val="FootnoteReference"/>
          <w:rFonts w:cs="Times New Roman"/>
          <w:i/>
          <w:iCs/>
          <w:sz w:val="24"/>
          <w:szCs w:val="24"/>
        </w:rPr>
        <w:footnoteReference w:id="91"/>
      </w:r>
      <w:r w:rsidR="002C0B2A" w:rsidRPr="00556AD5">
        <w:rPr>
          <w:rFonts w:cs="Times New Roman"/>
          <w:sz w:val="24"/>
          <w:szCs w:val="24"/>
        </w:rPr>
        <w:t>:</w:t>
      </w:r>
    </w:p>
    <w:p w:rsidR="002C0B2A" w:rsidRPr="00556AD5" w:rsidRDefault="002C0B2A" w:rsidP="002C0B2A">
      <w:pPr>
        <w:pStyle w:val="ListParagraph"/>
        <w:autoSpaceDE w:val="0"/>
        <w:autoSpaceDN w:val="0"/>
        <w:adjustRightInd w:val="0"/>
        <w:spacing w:after="0" w:line="240" w:lineRule="auto"/>
        <w:ind w:left="567"/>
        <w:rPr>
          <w:rFonts w:cs="Times New Roman"/>
          <w:sz w:val="18"/>
          <w:szCs w:val="18"/>
        </w:rPr>
      </w:pPr>
    </w:p>
    <w:p w:rsidR="005A7002" w:rsidRPr="00556AD5" w:rsidRDefault="002C0B2A" w:rsidP="002C0B2A">
      <w:pPr>
        <w:autoSpaceDE w:val="0"/>
        <w:autoSpaceDN w:val="0"/>
        <w:adjustRightInd w:val="0"/>
        <w:spacing w:after="0" w:line="240" w:lineRule="auto"/>
        <w:ind w:left="709"/>
        <w:rPr>
          <w:rFonts w:cs="Times New Roman"/>
        </w:rPr>
      </w:pPr>
      <w:r w:rsidRPr="00556AD5">
        <w:rPr>
          <w:rFonts w:cs="Times New Roman"/>
          <w:i/>
        </w:rPr>
        <w:t xml:space="preserve">The question whether particular facts reveal a conspiracy to defraud depends upon what the conspirators have dishonestly agreed to do, and in particular whether they have agreed to practise a fraud on somebody. For this purpose it is enough for example that, as in </w:t>
      </w:r>
      <w:proofErr w:type="spellStart"/>
      <w:r w:rsidRPr="00556AD5">
        <w:rPr>
          <w:rFonts w:cs="Times New Roman"/>
          <w:i/>
          <w:iCs/>
        </w:rPr>
        <w:t>Allsop</w:t>
      </w:r>
      <w:proofErr w:type="spellEnd"/>
      <w:r w:rsidRPr="00556AD5">
        <w:rPr>
          <w:rFonts w:cs="Times New Roman"/>
          <w:i/>
          <w:iCs/>
        </w:rPr>
        <w:t xml:space="preserve"> </w:t>
      </w:r>
      <w:r w:rsidRPr="00556AD5">
        <w:rPr>
          <w:rFonts w:cs="Times New Roman"/>
          <w:i/>
        </w:rPr>
        <w:t xml:space="preserve">and in the present case the conspirators have dishonestly agreed to bring about a state of affairs which they realise will or may deceive the victim into so acting, or failing to act that he will suffer economic loss or his economic interests will be put at risk. </w:t>
      </w:r>
    </w:p>
    <w:p w:rsidR="007239DF" w:rsidRPr="00556AD5" w:rsidRDefault="007239DF" w:rsidP="007239DF">
      <w:pPr>
        <w:autoSpaceDE w:val="0"/>
        <w:autoSpaceDN w:val="0"/>
        <w:adjustRightInd w:val="0"/>
        <w:spacing w:after="0" w:line="240" w:lineRule="auto"/>
        <w:ind w:left="851"/>
        <w:rPr>
          <w:rFonts w:cs="Times New Roman"/>
        </w:rPr>
      </w:pPr>
    </w:p>
    <w:p w:rsidR="007239DF" w:rsidRPr="00556AD5" w:rsidRDefault="007239DF" w:rsidP="00544B57">
      <w:pPr>
        <w:pStyle w:val="ListParagraph"/>
        <w:widowControl w:val="0"/>
        <w:numPr>
          <w:ilvl w:val="0"/>
          <w:numId w:val="11"/>
        </w:numPr>
        <w:autoSpaceDE w:val="0"/>
        <w:autoSpaceDN w:val="0"/>
        <w:adjustRightInd w:val="0"/>
        <w:spacing w:after="0" w:line="240" w:lineRule="auto"/>
        <w:ind w:left="567" w:hanging="567"/>
        <w:rPr>
          <w:rFonts w:cs="Times New Roman"/>
        </w:rPr>
      </w:pPr>
      <w:r w:rsidRPr="00556AD5">
        <w:rPr>
          <w:rFonts w:cs="Times New Roman"/>
          <w:sz w:val="24"/>
        </w:rPr>
        <w:t>The offence thus appears to be extraordinarily wide</w:t>
      </w:r>
      <w:r w:rsidR="00BD6C5B" w:rsidRPr="00556AD5">
        <w:rPr>
          <w:rFonts w:cs="Times New Roman"/>
          <w:sz w:val="24"/>
        </w:rPr>
        <w:t>. The Home Office has said that</w:t>
      </w:r>
      <w:r w:rsidRPr="00556AD5">
        <w:rPr>
          <w:rFonts w:cs="Times New Roman"/>
          <w:sz w:val="24"/>
        </w:rPr>
        <w:t xml:space="preserve"> </w:t>
      </w:r>
      <w:r w:rsidRPr="00556AD5">
        <w:rPr>
          <w:sz w:val="24"/>
        </w:rPr>
        <w:t>once a course of conduct has been agreed which prejudices or risks prejudice to the rights or interests of another, the element of dishonesty is ‘</w:t>
      </w:r>
      <w:r w:rsidRPr="00556AD5">
        <w:rPr>
          <w:i/>
          <w:sz w:val="24"/>
        </w:rPr>
        <w:t>left to do all the work</w:t>
      </w:r>
      <w:r w:rsidRPr="00556AD5">
        <w:rPr>
          <w:sz w:val="24"/>
        </w:rPr>
        <w:t xml:space="preserve">’  in a </w:t>
      </w:r>
      <w:r w:rsidR="00BD6C5B" w:rsidRPr="00556AD5">
        <w:rPr>
          <w:sz w:val="24"/>
        </w:rPr>
        <w:t>c</w:t>
      </w:r>
      <w:r w:rsidRPr="00556AD5">
        <w:rPr>
          <w:sz w:val="24"/>
        </w:rPr>
        <w:t>riminal trial.</w:t>
      </w:r>
      <w:r w:rsidRPr="00556AD5">
        <w:rPr>
          <w:rStyle w:val="FootnoteReference"/>
          <w:sz w:val="24"/>
        </w:rPr>
        <w:t xml:space="preserve"> </w:t>
      </w:r>
      <w:r w:rsidRPr="00556AD5">
        <w:rPr>
          <w:rStyle w:val="FootnoteReference"/>
        </w:rPr>
        <w:footnoteReference w:id="92"/>
      </w:r>
      <w:r w:rsidR="00BD6C5B" w:rsidRPr="00556AD5">
        <w:rPr>
          <w:sz w:val="24"/>
        </w:rPr>
        <w:t xml:space="preserve">  </w:t>
      </w:r>
      <w:r w:rsidRPr="00556AD5">
        <w:rPr>
          <w:sz w:val="24"/>
        </w:rPr>
        <w:t xml:space="preserve">Similar statements can be found in the Law Commission’s early </w:t>
      </w:r>
      <w:r w:rsidR="00544B57" w:rsidRPr="00556AD5">
        <w:rPr>
          <w:sz w:val="24"/>
        </w:rPr>
        <w:t>w</w:t>
      </w:r>
      <w:r w:rsidRPr="00556AD5">
        <w:rPr>
          <w:sz w:val="24"/>
        </w:rPr>
        <w:t>orking Paper on the offence.</w:t>
      </w:r>
      <w:r w:rsidRPr="00556AD5">
        <w:rPr>
          <w:rStyle w:val="FootnoteReference"/>
          <w:sz w:val="24"/>
        </w:rPr>
        <w:footnoteReference w:id="93"/>
      </w:r>
      <w:r w:rsidRPr="00556AD5">
        <w:rPr>
          <w:sz w:val="24"/>
        </w:rPr>
        <w:t xml:space="preserve">  More recently, the Law Commission also observed</w:t>
      </w:r>
      <w:r w:rsidRPr="00556AD5">
        <w:rPr>
          <w:rStyle w:val="FootnoteReference"/>
          <w:sz w:val="24"/>
        </w:rPr>
        <w:footnoteReference w:id="94"/>
      </w:r>
      <w:r w:rsidRPr="00556AD5">
        <w:rPr>
          <w:sz w:val="24"/>
        </w:rPr>
        <w:t>:</w:t>
      </w:r>
    </w:p>
    <w:p w:rsidR="007239DF" w:rsidRPr="00556AD5" w:rsidRDefault="007239DF" w:rsidP="007239DF">
      <w:pPr>
        <w:autoSpaceDE w:val="0"/>
        <w:autoSpaceDN w:val="0"/>
        <w:adjustRightInd w:val="0"/>
        <w:spacing w:after="0" w:line="240" w:lineRule="auto"/>
        <w:rPr>
          <w:rFonts w:cs="Times New Roman"/>
        </w:rPr>
      </w:pPr>
    </w:p>
    <w:p w:rsidR="007239DF" w:rsidRPr="00556AD5" w:rsidRDefault="007239DF" w:rsidP="007239DF">
      <w:pPr>
        <w:autoSpaceDE w:val="0"/>
        <w:autoSpaceDN w:val="0"/>
        <w:adjustRightInd w:val="0"/>
        <w:spacing w:after="0" w:line="240" w:lineRule="auto"/>
        <w:ind w:left="851"/>
        <w:rPr>
          <w:rFonts w:cs="Times New Roman"/>
          <w:i/>
          <w:sz w:val="20"/>
        </w:rPr>
      </w:pPr>
      <w:r w:rsidRPr="00556AD5">
        <w:rPr>
          <w:rFonts w:cs="Times New Roman"/>
          <w:i/>
          <w:sz w:val="20"/>
        </w:rPr>
        <w:t>“3.6</w:t>
      </w:r>
      <w:r w:rsidRPr="00556AD5">
        <w:rPr>
          <w:rFonts w:cs="Times New Roman"/>
          <w:i/>
          <w:sz w:val="20"/>
        </w:rPr>
        <w:tab/>
      </w:r>
      <w:r w:rsidRPr="00556AD5">
        <w:rPr>
          <w:rFonts w:cs="Times New Roman"/>
          <w:i/>
          <w:sz w:val="20"/>
          <w:szCs w:val="23"/>
        </w:rPr>
        <w:t xml:space="preserve">In a capitalist society, commercial life revolves around the pursuit of gain for oneself and, as a </w:t>
      </w:r>
      <w:proofErr w:type="gramStart"/>
      <w:r w:rsidRPr="00556AD5">
        <w:rPr>
          <w:rFonts w:cs="Times New Roman"/>
          <w:i/>
          <w:sz w:val="20"/>
          <w:szCs w:val="23"/>
        </w:rPr>
        <w:t>corollary,</w:t>
      </w:r>
      <w:proofErr w:type="gramEnd"/>
      <w:r w:rsidRPr="00556AD5">
        <w:rPr>
          <w:rFonts w:cs="Times New Roman"/>
          <w:i/>
          <w:sz w:val="20"/>
          <w:szCs w:val="23"/>
        </w:rPr>
        <w:t xml:space="preserve"> others may lose out, whether directly or indirectly. Such behaviour is perfectly legitimate. It is only the element of “dishonesty” which renders it a criminal fraud. In other words, that element “does all the work” in assessing whether particular facts fall within the definition of the crime. . . </w:t>
      </w:r>
    </w:p>
    <w:p w:rsidR="007239DF" w:rsidRPr="00556AD5" w:rsidRDefault="007239DF" w:rsidP="007239DF">
      <w:pPr>
        <w:autoSpaceDE w:val="0"/>
        <w:autoSpaceDN w:val="0"/>
        <w:adjustRightInd w:val="0"/>
        <w:spacing w:after="0" w:line="240" w:lineRule="auto"/>
        <w:rPr>
          <w:rFonts w:cs="Times New Roman"/>
        </w:rPr>
      </w:pPr>
    </w:p>
    <w:p w:rsidR="007239DF" w:rsidRPr="00556AD5" w:rsidRDefault="007239DF" w:rsidP="007239DF">
      <w:pPr>
        <w:autoSpaceDE w:val="0"/>
        <w:autoSpaceDN w:val="0"/>
        <w:adjustRightInd w:val="0"/>
        <w:spacing w:after="0" w:line="240" w:lineRule="auto"/>
        <w:ind w:left="851"/>
        <w:rPr>
          <w:rFonts w:cs="Times New Roman"/>
          <w:i/>
          <w:sz w:val="20"/>
          <w:szCs w:val="20"/>
        </w:rPr>
      </w:pPr>
      <w:r w:rsidRPr="00556AD5">
        <w:rPr>
          <w:rFonts w:cs="Times New Roman"/>
          <w:i/>
          <w:sz w:val="20"/>
          <w:szCs w:val="20"/>
        </w:rPr>
        <w:t>3.8</w:t>
      </w:r>
      <w:r w:rsidRPr="00556AD5">
        <w:rPr>
          <w:rFonts w:cs="Times New Roman"/>
          <w:i/>
          <w:sz w:val="20"/>
          <w:szCs w:val="20"/>
        </w:rPr>
        <w:tab/>
        <w:t>Activities which would otherwise be legitimate can therefore become fraudulent if a jury is prepared to characterise them as dishonest.7 Not only does this delegate to the jury the responsibility for defining what conduct is to be regarded as fraudulent, but it leaves prosecutors with an uncommonly broad discretion when they are deciding whether to pursue a conspiracy to defraud case. If, for example, the directors of a company enter into “industrial espionage” in order to gain the edge over a competitor, they could potentially be prosecuted for conspiracy to defraud, despite the absence of any statutory offence governing such activities….</w:t>
      </w:r>
    </w:p>
    <w:p w:rsidR="007239DF" w:rsidRPr="00556AD5" w:rsidRDefault="007239DF" w:rsidP="007239DF">
      <w:pPr>
        <w:autoSpaceDE w:val="0"/>
        <w:autoSpaceDN w:val="0"/>
        <w:adjustRightInd w:val="0"/>
        <w:spacing w:after="0" w:line="240" w:lineRule="auto"/>
        <w:ind w:left="851"/>
        <w:rPr>
          <w:rFonts w:cs="Times New Roman"/>
          <w:i/>
          <w:sz w:val="20"/>
          <w:szCs w:val="20"/>
        </w:rPr>
      </w:pPr>
    </w:p>
    <w:p w:rsidR="007239DF" w:rsidRPr="00556AD5" w:rsidRDefault="007239DF" w:rsidP="007239DF">
      <w:pPr>
        <w:autoSpaceDE w:val="0"/>
        <w:autoSpaceDN w:val="0"/>
        <w:adjustRightInd w:val="0"/>
        <w:spacing w:after="0" w:line="240" w:lineRule="auto"/>
        <w:ind w:left="851"/>
        <w:rPr>
          <w:rFonts w:cs="Times New Roman"/>
          <w:i/>
          <w:sz w:val="20"/>
          <w:szCs w:val="20"/>
        </w:rPr>
      </w:pPr>
      <w:r w:rsidRPr="00556AD5">
        <w:rPr>
          <w:rFonts w:cs="Times New Roman"/>
          <w:i/>
          <w:sz w:val="20"/>
          <w:szCs w:val="20"/>
        </w:rPr>
        <w:t>3.9</w:t>
      </w:r>
      <w:r w:rsidRPr="00556AD5">
        <w:rPr>
          <w:rFonts w:cs="Times New Roman"/>
          <w:i/>
          <w:sz w:val="20"/>
          <w:szCs w:val="20"/>
        </w:rPr>
        <w:tab/>
        <w:t>In effect, conspiracy to defraud is a “general dishonesty offence”, subject only to the irrational requirement of conspiracy. ..“</w:t>
      </w:r>
    </w:p>
    <w:p w:rsidR="007239DF" w:rsidRPr="00556AD5" w:rsidRDefault="007239DF" w:rsidP="002C0B2A">
      <w:pPr>
        <w:autoSpaceDE w:val="0"/>
        <w:autoSpaceDN w:val="0"/>
        <w:adjustRightInd w:val="0"/>
        <w:spacing w:after="0" w:line="240" w:lineRule="auto"/>
        <w:ind w:left="709"/>
        <w:rPr>
          <w:rFonts w:cs="Times New Roman"/>
        </w:rPr>
      </w:pPr>
    </w:p>
    <w:p w:rsidR="007239DF" w:rsidRDefault="00A37A69" w:rsidP="00A37A69">
      <w:pPr>
        <w:pStyle w:val="ASQC"/>
      </w:pPr>
      <w:r>
        <w:t xml:space="preserve">Although its </w:t>
      </w:r>
      <w:r w:rsidR="007239DF" w:rsidRPr="00556AD5">
        <w:t xml:space="preserve">ambit </w:t>
      </w:r>
      <w:r>
        <w:t xml:space="preserve">is undoubtedly wide, </w:t>
      </w:r>
      <w:r w:rsidR="007239DF" w:rsidRPr="00556AD5">
        <w:t xml:space="preserve">the suggested primacy of dishonesty overstates </w:t>
      </w:r>
      <w:r w:rsidR="00544B57" w:rsidRPr="00556AD5">
        <w:t>the position</w:t>
      </w:r>
      <w:r w:rsidR="007239DF" w:rsidRPr="00556AD5">
        <w:t xml:space="preserve">. What is often overlooked is that conspiracy to defraud was and remains a common law conspiracy. </w:t>
      </w:r>
    </w:p>
    <w:p w:rsidR="00A37A69" w:rsidRPr="00556AD5" w:rsidRDefault="00A37A69" w:rsidP="00A913F4">
      <w:pPr>
        <w:pStyle w:val="ASQC"/>
        <w:numPr>
          <w:ilvl w:val="0"/>
          <w:numId w:val="0"/>
        </w:numPr>
        <w:ind w:left="567"/>
      </w:pPr>
    </w:p>
    <w:p w:rsidR="00544B57" w:rsidRPr="00A37A69" w:rsidRDefault="00A37A69" w:rsidP="00A913F4">
      <w:pPr>
        <w:pStyle w:val="list1"/>
        <w:numPr>
          <w:ilvl w:val="0"/>
          <w:numId w:val="0"/>
        </w:numPr>
      </w:pPr>
      <w:r w:rsidRPr="00A37A69">
        <w:t>PART 3: The Ambit and Limitations of Conspiracy to Defraud.</w:t>
      </w:r>
    </w:p>
    <w:p w:rsidR="00A913F4" w:rsidRDefault="00A913F4" w:rsidP="00A913F4">
      <w:pPr>
        <w:pStyle w:val="list1"/>
        <w:numPr>
          <w:ilvl w:val="0"/>
          <w:numId w:val="0"/>
        </w:numPr>
      </w:pPr>
    </w:p>
    <w:p w:rsidR="00544B57" w:rsidRPr="00556AD5" w:rsidRDefault="00544B57" w:rsidP="00A913F4">
      <w:pPr>
        <w:pStyle w:val="list1"/>
        <w:numPr>
          <w:ilvl w:val="0"/>
          <w:numId w:val="0"/>
        </w:numPr>
      </w:pPr>
      <w:r w:rsidRPr="00556AD5">
        <w:t>Common Law Conspiracy</w:t>
      </w:r>
    </w:p>
    <w:p w:rsidR="00544B57" w:rsidRPr="00556AD5" w:rsidRDefault="00544B57" w:rsidP="00544B57">
      <w:pPr>
        <w:pStyle w:val="ListParagraph"/>
        <w:spacing w:line="240" w:lineRule="auto"/>
        <w:ind w:left="567"/>
        <w:rPr>
          <w:rFonts w:eastAsia="Times New Roman" w:cs="Times New Roman"/>
          <w:b/>
          <w:kern w:val="28"/>
          <w:sz w:val="28"/>
          <w:szCs w:val="24"/>
        </w:rPr>
      </w:pPr>
    </w:p>
    <w:p w:rsidR="007239DF" w:rsidRPr="00556AD5" w:rsidRDefault="007239DF" w:rsidP="007239DF">
      <w:pPr>
        <w:pStyle w:val="ListParagraph"/>
        <w:numPr>
          <w:ilvl w:val="0"/>
          <w:numId w:val="11"/>
        </w:numPr>
        <w:spacing w:line="240" w:lineRule="auto"/>
        <w:ind w:left="567" w:hanging="567"/>
        <w:rPr>
          <w:rFonts w:eastAsia="Times New Roman" w:cs="Times New Roman"/>
          <w:b/>
          <w:kern w:val="28"/>
          <w:sz w:val="28"/>
          <w:szCs w:val="24"/>
        </w:rPr>
      </w:pPr>
      <w:r w:rsidRPr="00556AD5">
        <w:rPr>
          <w:sz w:val="24"/>
        </w:rPr>
        <w:t>Conspiracy evolved from three separate sources</w:t>
      </w:r>
      <w:r w:rsidRPr="00556AD5">
        <w:rPr>
          <w:rStyle w:val="FootnoteReference"/>
          <w:sz w:val="24"/>
        </w:rPr>
        <w:footnoteReference w:id="95"/>
      </w:r>
      <w:r w:rsidRPr="00556AD5">
        <w:rPr>
          <w:sz w:val="24"/>
        </w:rPr>
        <w:t xml:space="preserve"> which are conveniently summarised by Lord </w:t>
      </w:r>
      <w:proofErr w:type="spellStart"/>
      <w:r w:rsidRPr="00556AD5">
        <w:rPr>
          <w:sz w:val="24"/>
        </w:rPr>
        <w:t>Diplock</w:t>
      </w:r>
      <w:proofErr w:type="spellEnd"/>
      <w:r w:rsidRPr="00556AD5">
        <w:rPr>
          <w:sz w:val="24"/>
        </w:rPr>
        <w:t xml:space="preserve"> in  in </w:t>
      </w:r>
      <w:proofErr w:type="spellStart"/>
      <w:r w:rsidRPr="00556AD5">
        <w:rPr>
          <w:i/>
          <w:iCs/>
          <w:sz w:val="24"/>
        </w:rPr>
        <w:t>Knuller</w:t>
      </w:r>
      <w:proofErr w:type="spellEnd"/>
      <w:r w:rsidRPr="00556AD5">
        <w:rPr>
          <w:i/>
          <w:iCs/>
          <w:sz w:val="24"/>
        </w:rPr>
        <w:t xml:space="preserve"> (Publishing, Printing and Promotions) Ltd v D.P.P:</w:t>
      </w:r>
      <w:r w:rsidRPr="00556AD5">
        <w:rPr>
          <w:rStyle w:val="FootnoteReference"/>
          <w:sz w:val="24"/>
        </w:rPr>
        <w:footnoteReference w:id="96"/>
      </w:r>
    </w:p>
    <w:p w:rsidR="007239DF" w:rsidRPr="00556AD5" w:rsidRDefault="007239DF" w:rsidP="007239DF">
      <w:pPr>
        <w:pStyle w:val="ListParagraph"/>
        <w:spacing w:line="360" w:lineRule="auto"/>
        <w:ind w:left="567"/>
        <w:rPr>
          <w:rFonts w:eastAsia="Times New Roman" w:cs="Times New Roman"/>
          <w:b/>
          <w:kern w:val="28"/>
          <w:sz w:val="28"/>
          <w:szCs w:val="24"/>
        </w:rPr>
      </w:pPr>
    </w:p>
    <w:p w:rsidR="007239DF" w:rsidRPr="00556AD5" w:rsidRDefault="007239DF" w:rsidP="007239DF">
      <w:pPr>
        <w:pStyle w:val="ListParagraph"/>
        <w:numPr>
          <w:ilvl w:val="1"/>
          <w:numId w:val="11"/>
        </w:numPr>
        <w:spacing w:line="240" w:lineRule="auto"/>
        <w:ind w:left="1434" w:hanging="357"/>
        <w:rPr>
          <w:rFonts w:eastAsia="Times New Roman" w:cs="Times New Roman"/>
          <w:b/>
          <w:kern w:val="28"/>
          <w:sz w:val="28"/>
          <w:szCs w:val="24"/>
        </w:rPr>
      </w:pPr>
      <w:r w:rsidRPr="00556AD5">
        <w:rPr>
          <w:i/>
          <w:iCs/>
          <w:sz w:val="24"/>
        </w:rPr>
        <w:t xml:space="preserve"> </w:t>
      </w:r>
      <w:r w:rsidRPr="00556AD5">
        <w:rPr>
          <w:iCs/>
          <w:sz w:val="24"/>
        </w:rPr>
        <w:t xml:space="preserve">A statutory writ of conspiracy, deriving from the thirteenth century, which provided </w:t>
      </w:r>
      <w:r w:rsidRPr="00556AD5">
        <w:rPr>
          <w:sz w:val="24"/>
        </w:rPr>
        <w:t>a remedy against two or more persons acting in concert to indict or accuse another person of felony where that other person had been acquitted by a jury.</w:t>
      </w:r>
      <w:r w:rsidRPr="00556AD5">
        <w:rPr>
          <w:rStyle w:val="FootnoteReference"/>
          <w:sz w:val="24"/>
        </w:rPr>
        <w:footnoteReference w:id="97"/>
      </w:r>
      <w:r w:rsidRPr="00556AD5">
        <w:rPr>
          <w:sz w:val="24"/>
        </w:rPr>
        <w:t xml:space="preserve"> [This led not only to the modern tort of malicious prosecution</w:t>
      </w:r>
      <w:r w:rsidRPr="00556AD5">
        <w:rPr>
          <w:rStyle w:val="FootnoteReference"/>
          <w:sz w:val="24"/>
        </w:rPr>
        <w:footnoteReference w:id="98"/>
      </w:r>
      <w:r w:rsidRPr="00556AD5">
        <w:rPr>
          <w:sz w:val="24"/>
        </w:rPr>
        <w:t xml:space="preserve"> but also to conspiracies to pervert the course of justice.]</w:t>
      </w:r>
    </w:p>
    <w:p w:rsidR="007239DF" w:rsidRPr="00556AD5" w:rsidRDefault="007239DF" w:rsidP="007239DF">
      <w:pPr>
        <w:pStyle w:val="ListParagraph"/>
        <w:spacing w:line="240" w:lineRule="auto"/>
        <w:ind w:left="1434"/>
        <w:rPr>
          <w:rFonts w:eastAsia="Times New Roman" w:cs="Times New Roman"/>
          <w:b/>
          <w:kern w:val="28"/>
          <w:sz w:val="28"/>
          <w:szCs w:val="24"/>
        </w:rPr>
      </w:pPr>
    </w:p>
    <w:p w:rsidR="007239DF" w:rsidRPr="00556AD5" w:rsidRDefault="007239DF" w:rsidP="007239DF">
      <w:pPr>
        <w:pStyle w:val="ListParagraph"/>
        <w:numPr>
          <w:ilvl w:val="1"/>
          <w:numId w:val="11"/>
        </w:numPr>
        <w:spacing w:line="240" w:lineRule="auto"/>
        <w:ind w:left="1434" w:hanging="357"/>
        <w:rPr>
          <w:sz w:val="24"/>
        </w:rPr>
      </w:pPr>
      <w:r w:rsidRPr="00556AD5">
        <w:rPr>
          <w:sz w:val="24"/>
        </w:rPr>
        <w:lastRenderedPageBreak/>
        <w:t xml:space="preserve">Combinations in restraint of trade, which arose following the collapse of the mediaeval guild system.  </w:t>
      </w:r>
    </w:p>
    <w:p w:rsidR="007239DF" w:rsidRPr="00556AD5" w:rsidRDefault="007239DF" w:rsidP="007239DF">
      <w:pPr>
        <w:pStyle w:val="ListParagraph"/>
        <w:rPr>
          <w:sz w:val="24"/>
        </w:rPr>
      </w:pPr>
    </w:p>
    <w:p w:rsidR="007239DF" w:rsidRPr="00556AD5" w:rsidRDefault="007239DF" w:rsidP="007239DF">
      <w:pPr>
        <w:pStyle w:val="ListParagraph"/>
        <w:numPr>
          <w:ilvl w:val="1"/>
          <w:numId w:val="11"/>
        </w:numPr>
        <w:spacing w:line="240" w:lineRule="auto"/>
        <w:ind w:left="1434" w:hanging="357"/>
        <w:rPr>
          <w:sz w:val="24"/>
        </w:rPr>
      </w:pPr>
      <w:r w:rsidRPr="00556AD5">
        <w:rPr>
          <w:sz w:val="24"/>
        </w:rPr>
        <w:t>The development in Star Chamber of punishing attempts as misdemeanours, from which an agreement to commit a crime was viewed as analogous to an attempt. It also introduced what became common law cheat in order to remedy a lacuna in mediaeval common law which gave no remedy for fraud: "</w:t>
      </w:r>
      <w:r w:rsidRPr="00556AD5">
        <w:rPr>
          <w:i/>
          <w:iCs/>
          <w:sz w:val="24"/>
        </w:rPr>
        <w:t>a man was regarded as having only himself to blame if he did not take sufficient precautions to avoid being deceived by another</w:t>
      </w:r>
      <w:r w:rsidRPr="00556AD5">
        <w:rPr>
          <w:sz w:val="24"/>
        </w:rPr>
        <w:t>".</w:t>
      </w:r>
      <w:r w:rsidRPr="00556AD5">
        <w:rPr>
          <w:rStyle w:val="FootnoteReference"/>
          <w:sz w:val="24"/>
        </w:rPr>
        <w:footnoteReference w:id="99"/>
      </w:r>
      <w:r w:rsidRPr="00556AD5">
        <w:rPr>
          <w:sz w:val="24"/>
        </w:rPr>
        <w:t xml:space="preserve"> From this flowed conspiracy to defraud.</w:t>
      </w:r>
    </w:p>
    <w:p w:rsidR="007239DF" w:rsidRPr="00556AD5" w:rsidRDefault="007239DF" w:rsidP="007239DF">
      <w:pPr>
        <w:pStyle w:val="ListParagraph"/>
        <w:rPr>
          <w:sz w:val="24"/>
        </w:rPr>
      </w:pPr>
    </w:p>
    <w:p w:rsidR="007239DF" w:rsidRPr="00556AD5" w:rsidRDefault="00A37A69" w:rsidP="007239DF">
      <w:pPr>
        <w:pStyle w:val="ListParagraph"/>
        <w:numPr>
          <w:ilvl w:val="0"/>
          <w:numId w:val="11"/>
        </w:numPr>
        <w:autoSpaceDE w:val="0"/>
        <w:autoSpaceDN w:val="0"/>
        <w:adjustRightInd w:val="0"/>
        <w:spacing w:after="0" w:line="240" w:lineRule="auto"/>
        <w:ind w:left="567" w:right="357" w:hanging="567"/>
        <w:rPr>
          <w:sz w:val="24"/>
        </w:rPr>
      </w:pPr>
      <w:r>
        <w:rPr>
          <w:sz w:val="24"/>
        </w:rPr>
        <w:t xml:space="preserve">The </w:t>
      </w:r>
      <w:r w:rsidR="00544B57" w:rsidRPr="00556AD5">
        <w:rPr>
          <w:sz w:val="24"/>
        </w:rPr>
        <w:t xml:space="preserve"> </w:t>
      </w:r>
      <w:r w:rsidR="007239DF" w:rsidRPr="00556AD5">
        <w:rPr>
          <w:sz w:val="24"/>
        </w:rPr>
        <w:t xml:space="preserve">parameters </w:t>
      </w:r>
      <w:r>
        <w:rPr>
          <w:sz w:val="24"/>
        </w:rPr>
        <w:t xml:space="preserve">of common law </w:t>
      </w:r>
      <w:r w:rsidR="007239DF" w:rsidRPr="00556AD5">
        <w:rPr>
          <w:sz w:val="24"/>
        </w:rPr>
        <w:t xml:space="preserve">were set out by the House of Lords in </w:t>
      </w:r>
      <w:proofErr w:type="spellStart"/>
      <w:r w:rsidR="007239DF" w:rsidRPr="00556AD5">
        <w:rPr>
          <w:i/>
          <w:sz w:val="24"/>
        </w:rPr>
        <w:t>Mulcahy</w:t>
      </w:r>
      <w:proofErr w:type="spellEnd"/>
      <w:r w:rsidR="007239DF" w:rsidRPr="00556AD5">
        <w:rPr>
          <w:i/>
          <w:sz w:val="24"/>
        </w:rPr>
        <w:t>:</w:t>
      </w:r>
      <w:r w:rsidR="007239DF" w:rsidRPr="00556AD5">
        <w:rPr>
          <w:rStyle w:val="FootnoteReference"/>
          <w:sz w:val="24"/>
        </w:rPr>
        <w:footnoteReference w:id="100"/>
      </w:r>
      <w:r w:rsidR="007239DF" w:rsidRPr="00556AD5">
        <w:rPr>
          <w:sz w:val="24"/>
        </w:rPr>
        <w:t xml:space="preserve"> </w:t>
      </w:r>
    </w:p>
    <w:p w:rsidR="007239DF" w:rsidRPr="00556AD5" w:rsidRDefault="007239DF" w:rsidP="007239DF">
      <w:pPr>
        <w:pStyle w:val="ListParagraph"/>
        <w:ind w:left="567"/>
        <w:rPr>
          <w:rFonts w:cs="Times New Roman"/>
          <w:i/>
          <w:sz w:val="18"/>
        </w:rPr>
      </w:pPr>
    </w:p>
    <w:p w:rsidR="007239DF" w:rsidRPr="00556AD5" w:rsidRDefault="007239DF" w:rsidP="007239DF">
      <w:pPr>
        <w:pStyle w:val="ListParagraph"/>
        <w:ind w:left="851"/>
        <w:rPr>
          <w:rFonts w:cs="Times New Roman"/>
          <w:i/>
        </w:rPr>
      </w:pPr>
      <w:r w:rsidRPr="00556AD5">
        <w:rPr>
          <w:rFonts w:cs="Times New Roman"/>
          <w:i/>
        </w:rPr>
        <w:t xml:space="preserve">A conspiracy consists not merely in the intention of two or more, but in the agreement of two or more to do an unlawful act, or to do a lawful act by unlawful means. So long as such a design rests in intention only, it is not indictable. When two agree to carry it into effect, the very plot is an act in itself, and the act of each of the parties, promise against promise, </w:t>
      </w:r>
      <w:r w:rsidRPr="00556AD5">
        <w:rPr>
          <w:rFonts w:cs="Times New Roman"/>
          <w:i/>
          <w:iCs/>
        </w:rPr>
        <w:t xml:space="preserve">actus contra </w:t>
      </w:r>
      <w:proofErr w:type="spellStart"/>
      <w:r w:rsidRPr="00556AD5">
        <w:rPr>
          <w:rFonts w:cs="Times New Roman"/>
          <w:i/>
          <w:iCs/>
        </w:rPr>
        <w:t>actum</w:t>
      </w:r>
      <w:proofErr w:type="spellEnd"/>
      <w:r w:rsidRPr="00556AD5">
        <w:rPr>
          <w:rFonts w:cs="Times New Roman"/>
          <w:i/>
          <w:iCs/>
        </w:rPr>
        <w:t xml:space="preserve">, </w:t>
      </w:r>
      <w:r w:rsidRPr="00556AD5">
        <w:rPr>
          <w:rFonts w:cs="Times New Roman"/>
          <w:i/>
        </w:rPr>
        <w:t>capable of being enforced, if lawful, punishable if for a criminal object or for the use of criminal means.</w:t>
      </w:r>
    </w:p>
    <w:p w:rsidR="00A37A69" w:rsidRDefault="00A37A69" w:rsidP="00A37A69">
      <w:pPr>
        <w:pStyle w:val="ASQC"/>
        <w:numPr>
          <w:ilvl w:val="0"/>
          <w:numId w:val="0"/>
        </w:numPr>
        <w:ind w:left="567"/>
      </w:pPr>
    </w:p>
    <w:p w:rsidR="00A37A69" w:rsidRPr="00556AD5" w:rsidRDefault="00A37A69" w:rsidP="00A37A69">
      <w:pPr>
        <w:pStyle w:val="ASQC"/>
      </w:pPr>
      <w:r w:rsidRPr="00556AD5">
        <w:t xml:space="preserve">The propositions on which the </w:t>
      </w:r>
      <w:proofErr w:type="spellStart"/>
      <w:r w:rsidRPr="00556AD5">
        <w:t>Mulcahy</w:t>
      </w:r>
      <w:proofErr w:type="spellEnd"/>
      <w:r w:rsidRPr="00556AD5">
        <w:t xml:space="preserve"> </w:t>
      </w:r>
      <w:proofErr w:type="gramStart"/>
      <w:r w:rsidRPr="00556AD5">
        <w:t>dicta was</w:t>
      </w:r>
      <w:proofErr w:type="gramEnd"/>
      <w:r w:rsidRPr="00556AD5">
        <w:t xml:space="preserve"> based had been clarified during the eighteenth and early nineteenth century.  </w:t>
      </w:r>
      <w:r w:rsidR="0075411E">
        <w:t>One example can be found in a</w:t>
      </w:r>
      <w:r w:rsidRPr="00556AD5">
        <w:t xml:space="preserve"> series of cases relate to the Poor Laws which provided for the relief of the “impotent poor” who were cared for in </w:t>
      </w:r>
      <w:proofErr w:type="spellStart"/>
      <w:r w:rsidRPr="00556AD5">
        <w:t>almhouses</w:t>
      </w:r>
      <w:proofErr w:type="spellEnd"/>
      <w:r w:rsidRPr="00556AD5">
        <w:t xml:space="preserve">, and the able-bodied poor, who were sent to the workhouse. The financial burden was shouldered by the parish ratepayers. The nearest modern equivalent might the obligation of local authorities to provide for the homeless.  In the eighteenth </w:t>
      </w:r>
      <w:r w:rsidR="0075411E">
        <w:t>century some bright parishioner</w:t>
      </w:r>
      <w:r w:rsidRPr="00556AD5">
        <w:t xml:space="preserve"> conceived of a scheme to alleviate the burden on their own rates by marrying off pregnant single mothers from their parish to poor men in other parishes.  The other parishioners were understandably indignant </w:t>
      </w:r>
      <w:r w:rsidR="0075411E">
        <w:t xml:space="preserve">at </w:t>
      </w:r>
      <w:r w:rsidRPr="00556AD5">
        <w:t>their increased financial burden.  There was debate as to whether such agreements were indictable.</w:t>
      </w:r>
      <w:r w:rsidRPr="00556AD5">
        <w:rPr>
          <w:rStyle w:val="FootnoteReference"/>
          <w:b/>
        </w:rPr>
        <w:footnoteReference w:id="101"/>
      </w:r>
      <w:r w:rsidRPr="00556AD5">
        <w:t xml:space="preserve">  By 1834 the position </w:t>
      </w:r>
      <w:r>
        <w:t>was clear</w:t>
      </w:r>
      <w:r w:rsidRPr="00556AD5">
        <w:t>:</w:t>
      </w:r>
    </w:p>
    <w:p w:rsidR="00A37A69" w:rsidRPr="00556AD5" w:rsidRDefault="00A37A69" w:rsidP="00A37A69">
      <w:pPr>
        <w:pStyle w:val="ListParagraph"/>
        <w:autoSpaceDE w:val="0"/>
        <w:autoSpaceDN w:val="0"/>
        <w:adjustRightInd w:val="0"/>
        <w:spacing w:after="0" w:line="240" w:lineRule="auto"/>
        <w:rPr>
          <w:rFonts w:cs="Times New Roman"/>
          <w:sz w:val="24"/>
          <w:szCs w:val="24"/>
        </w:rPr>
      </w:pPr>
    </w:p>
    <w:p w:rsidR="00A37A69" w:rsidRPr="00556AD5" w:rsidRDefault="00A37A69" w:rsidP="00A37A69">
      <w:pPr>
        <w:pStyle w:val="ListParagraph"/>
        <w:ind w:left="851"/>
        <w:rPr>
          <w:rFonts w:cs="Times New Roman"/>
        </w:rPr>
      </w:pPr>
      <w:r w:rsidRPr="00556AD5">
        <w:rPr>
          <w:rFonts w:cs="Times New Roman"/>
        </w:rPr>
        <w:t>“</w:t>
      </w:r>
      <w:r w:rsidRPr="00556AD5">
        <w:rPr>
          <w:rFonts w:cs="Times New Roman"/>
          <w:i/>
        </w:rPr>
        <w:t>Merely persuading an unmarried man and woman in poor circumstances to contract matrimony is not an offence. If indeed it was done by unfair and undue means, it might be unlawful, but that is not stated. There is no averment that the parties were unwilling, or that the marriage was brought about by and fraud, stratagem, or concealment, or by duress or threat. No unlawful means are stated; and the thing in itself is not an offence.</w:t>
      </w:r>
      <w:r w:rsidRPr="00556AD5">
        <w:rPr>
          <w:rFonts w:cs="Times New Roman"/>
        </w:rPr>
        <w:t>”</w:t>
      </w:r>
      <w:r w:rsidRPr="00556AD5">
        <w:rPr>
          <w:rStyle w:val="FootnoteReference"/>
          <w:rFonts w:cs="Times New Roman"/>
        </w:rPr>
        <w:footnoteReference w:id="102"/>
      </w:r>
    </w:p>
    <w:p w:rsidR="00A37A69" w:rsidRPr="00556AD5" w:rsidRDefault="00A37A69" w:rsidP="00A37A69">
      <w:pPr>
        <w:pStyle w:val="ListParagraph"/>
        <w:ind w:left="851"/>
        <w:rPr>
          <w:rFonts w:cs="Times New Roman"/>
          <w:sz w:val="24"/>
          <w:szCs w:val="24"/>
        </w:rPr>
      </w:pPr>
    </w:p>
    <w:p w:rsidR="00A37A69" w:rsidRPr="00556AD5" w:rsidRDefault="00A37A69" w:rsidP="00A37A69">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rPr>
        <w:lastRenderedPageBreak/>
        <w:t xml:space="preserve">In other words such agreements were lawful, and absent unlawfulness could not be indicted. A similar point </w:t>
      </w:r>
      <w:r w:rsidRPr="00556AD5">
        <w:rPr>
          <w:rFonts w:cs="Times New Roman"/>
          <w:sz w:val="24"/>
          <w:szCs w:val="24"/>
        </w:rPr>
        <w:t xml:space="preserve">was recently considered in </w:t>
      </w:r>
      <w:r w:rsidRPr="00556AD5">
        <w:rPr>
          <w:rFonts w:cs="Times New Roman"/>
          <w:i/>
          <w:sz w:val="24"/>
          <w:szCs w:val="24"/>
        </w:rPr>
        <w:t>Evans</w:t>
      </w:r>
      <w:r w:rsidRPr="00556AD5">
        <w:rPr>
          <w:rStyle w:val="FootnoteReference"/>
          <w:rFonts w:cs="Times New Roman"/>
          <w:i/>
          <w:sz w:val="24"/>
          <w:szCs w:val="24"/>
        </w:rPr>
        <w:footnoteReference w:id="103"/>
      </w:r>
      <w:r w:rsidRPr="00556AD5">
        <w:rPr>
          <w:rFonts w:cs="Times New Roman"/>
          <w:i/>
          <w:sz w:val="24"/>
          <w:szCs w:val="24"/>
        </w:rPr>
        <w:t xml:space="preserve"> </w:t>
      </w:r>
      <w:r w:rsidRPr="00556AD5">
        <w:rPr>
          <w:rFonts w:cs="Times New Roman"/>
          <w:sz w:val="24"/>
          <w:szCs w:val="24"/>
        </w:rPr>
        <w:t xml:space="preserve">where Mr Justice </w:t>
      </w:r>
      <w:proofErr w:type="spellStart"/>
      <w:r w:rsidRPr="00556AD5">
        <w:rPr>
          <w:rFonts w:cs="Times New Roman"/>
          <w:sz w:val="24"/>
          <w:szCs w:val="24"/>
        </w:rPr>
        <w:t>Hickinbottam</w:t>
      </w:r>
      <w:proofErr w:type="spellEnd"/>
      <w:r w:rsidRPr="00556AD5">
        <w:rPr>
          <w:rFonts w:cs="Times New Roman"/>
          <w:sz w:val="24"/>
          <w:szCs w:val="24"/>
        </w:rPr>
        <w:t xml:space="preserve"> ruled at first instance that </w:t>
      </w:r>
      <w:r w:rsidRPr="00556AD5">
        <w:rPr>
          <w:sz w:val="24"/>
          <w:szCs w:val="24"/>
        </w:rPr>
        <w:t xml:space="preserve">a conspiracy to defraud must incorporate some unlawfulness, either in its object or its means and that it would be wrong in principle for the common law to extend conspiracy to defraud to include agreements to achieve a lawful object by lawful means. </w:t>
      </w:r>
      <w:r w:rsidRPr="00556AD5">
        <w:rPr>
          <w:i/>
          <w:sz w:val="24"/>
          <w:szCs w:val="24"/>
        </w:rPr>
        <w:t>Evans</w:t>
      </w:r>
      <w:r w:rsidRPr="00556AD5">
        <w:rPr>
          <w:sz w:val="24"/>
          <w:szCs w:val="24"/>
        </w:rPr>
        <w:t xml:space="preserve"> was a restatement of </w:t>
      </w:r>
      <w:proofErr w:type="spellStart"/>
      <w:r w:rsidRPr="00556AD5">
        <w:rPr>
          <w:i/>
          <w:sz w:val="24"/>
          <w:szCs w:val="24"/>
        </w:rPr>
        <w:t>Mulcahy</w:t>
      </w:r>
      <w:proofErr w:type="spellEnd"/>
      <w:r w:rsidRPr="00556AD5">
        <w:rPr>
          <w:sz w:val="24"/>
          <w:szCs w:val="24"/>
        </w:rPr>
        <w:t xml:space="preserve"> from another approach.</w:t>
      </w:r>
    </w:p>
    <w:p w:rsidR="007239DF" w:rsidRPr="00556AD5" w:rsidRDefault="007239DF" w:rsidP="007239DF">
      <w:pPr>
        <w:pStyle w:val="ListParagraph"/>
        <w:ind w:left="851"/>
        <w:rPr>
          <w:rFonts w:cs="Times New Roman"/>
        </w:rPr>
      </w:pPr>
    </w:p>
    <w:p w:rsidR="007239DF" w:rsidRPr="00556AD5" w:rsidRDefault="007239DF" w:rsidP="0075411E">
      <w:pPr>
        <w:pStyle w:val="ASQC"/>
        <w:spacing w:line="240" w:lineRule="auto"/>
      </w:pPr>
      <w:r w:rsidRPr="00556AD5">
        <w:t xml:space="preserve">From a historical perspective, the dicta that conspiracy lies in the agreement of two or more to do an unlawful act, or to do a lawful act by unlawful means </w:t>
      </w:r>
      <w:r w:rsidR="00544B57" w:rsidRPr="00556AD5">
        <w:t>was too narrow. It derived</w:t>
      </w:r>
      <w:r w:rsidRPr="00556AD5">
        <w:t xml:space="preserve"> from a statement by Lord Denman</w:t>
      </w:r>
      <w:r w:rsidRPr="00556AD5">
        <w:rPr>
          <w:rStyle w:val="FootnoteReference"/>
          <w:b/>
        </w:rPr>
        <w:footnoteReference w:id="104"/>
      </w:r>
      <w:r w:rsidRPr="00556AD5">
        <w:t xml:space="preserve"> who later, when the phrase was cited back at him, commented that he “</w:t>
      </w:r>
      <w:r w:rsidRPr="00A37A69">
        <w:rPr>
          <w:i/>
        </w:rPr>
        <w:t>did not think the antithesis very correct</w:t>
      </w:r>
      <w:r w:rsidRPr="00556AD5">
        <w:t>”</w:t>
      </w:r>
      <w:r w:rsidRPr="00556AD5">
        <w:rPr>
          <w:rStyle w:val="FootnoteReference"/>
          <w:b/>
        </w:rPr>
        <w:footnoteReference w:id="105"/>
      </w:r>
      <w:r w:rsidRPr="00556AD5">
        <w:t xml:space="preserve"> and </w:t>
      </w:r>
      <w:r w:rsidR="0061514B" w:rsidRPr="00556AD5">
        <w:t xml:space="preserve">he </w:t>
      </w:r>
      <w:r w:rsidR="00544B57" w:rsidRPr="00556AD5">
        <w:t xml:space="preserve">later </w:t>
      </w:r>
      <w:r w:rsidRPr="00556AD5">
        <w:t>explained that the phrase should have been accompanied by the words “</w:t>
      </w:r>
      <w:r w:rsidRPr="00A37A69">
        <w:rPr>
          <w:i/>
        </w:rPr>
        <w:t>at least</w:t>
      </w:r>
      <w:r w:rsidRPr="00556AD5">
        <w:t>.”</w:t>
      </w:r>
      <w:r w:rsidRPr="00556AD5">
        <w:rPr>
          <w:rStyle w:val="FootnoteReference"/>
          <w:b/>
        </w:rPr>
        <w:footnoteReference w:id="106"/>
      </w:r>
      <w:r w:rsidR="0061514B" w:rsidRPr="00556AD5">
        <w:t xml:space="preserve">  However, the </w:t>
      </w:r>
      <w:proofErr w:type="gramStart"/>
      <w:r w:rsidR="0061514B" w:rsidRPr="00556AD5">
        <w:t xml:space="preserve">phrase </w:t>
      </w:r>
      <w:r w:rsidRPr="00556AD5">
        <w:t>become</w:t>
      </w:r>
      <w:proofErr w:type="gramEnd"/>
      <w:r w:rsidRPr="00556AD5">
        <w:t xml:space="preserve"> embedded to such a degree </w:t>
      </w:r>
      <w:r w:rsidR="00D17E9E" w:rsidRPr="00556AD5">
        <w:t xml:space="preserve">that it has achieved not only acceptance </w:t>
      </w:r>
      <w:r w:rsidR="0061514B" w:rsidRPr="00556AD5">
        <w:t xml:space="preserve">but </w:t>
      </w:r>
      <w:r w:rsidR="00A37A69">
        <w:t xml:space="preserve">the </w:t>
      </w:r>
      <w:r w:rsidR="00D17E9E" w:rsidRPr="00556AD5">
        <w:t>sanction</w:t>
      </w:r>
      <w:r w:rsidR="00A37A69">
        <w:t xml:space="preserve"> of the House of Lords</w:t>
      </w:r>
      <w:r w:rsidR="00D17E9E" w:rsidRPr="00556AD5">
        <w:t>.</w:t>
      </w:r>
      <w:r w:rsidR="00D17E9E" w:rsidRPr="00556AD5">
        <w:rPr>
          <w:rStyle w:val="FootnoteReference"/>
          <w:b/>
        </w:rPr>
        <w:footnoteReference w:id="107"/>
      </w:r>
      <w:r w:rsidR="00D17E9E" w:rsidRPr="00556AD5">
        <w:t xml:space="preserve"> </w:t>
      </w:r>
    </w:p>
    <w:p w:rsidR="00A37A69" w:rsidRDefault="00A37A69" w:rsidP="00A913F4">
      <w:pPr>
        <w:pStyle w:val="list1"/>
        <w:numPr>
          <w:ilvl w:val="0"/>
          <w:numId w:val="0"/>
        </w:numPr>
        <w:ind w:left="1440"/>
      </w:pPr>
    </w:p>
    <w:p w:rsidR="00D17E9E" w:rsidRPr="00556AD5" w:rsidRDefault="00A913F4" w:rsidP="00A913F4">
      <w:pPr>
        <w:pStyle w:val="list1"/>
        <w:numPr>
          <w:ilvl w:val="0"/>
          <w:numId w:val="0"/>
        </w:numPr>
      </w:pPr>
      <w:r>
        <w:t>The Meaning of Unlawful</w:t>
      </w:r>
    </w:p>
    <w:p w:rsidR="0061514B" w:rsidRPr="00556AD5" w:rsidRDefault="0061514B" w:rsidP="0061514B">
      <w:pPr>
        <w:pStyle w:val="ListParagraph"/>
        <w:ind w:left="567"/>
        <w:rPr>
          <w:sz w:val="24"/>
          <w:szCs w:val="24"/>
        </w:rPr>
      </w:pPr>
    </w:p>
    <w:p w:rsidR="00D17E9E" w:rsidRPr="00556AD5" w:rsidRDefault="00D17E9E" w:rsidP="00D17E9E">
      <w:pPr>
        <w:pStyle w:val="ListParagraph"/>
        <w:numPr>
          <w:ilvl w:val="0"/>
          <w:numId w:val="11"/>
        </w:numPr>
        <w:ind w:left="567" w:hanging="567"/>
        <w:rPr>
          <w:sz w:val="24"/>
          <w:szCs w:val="24"/>
        </w:rPr>
      </w:pPr>
      <w:r w:rsidRPr="00556AD5">
        <w:rPr>
          <w:sz w:val="24"/>
          <w:szCs w:val="24"/>
        </w:rPr>
        <w:t xml:space="preserve">All this begs the question as to what is meant by unlawfulness. It clearly includes any form of criminality.  Any dishonest criminal act, however minor, which it is agreed should be carried out in order to </w:t>
      </w:r>
      <w:r w:rsidR="0061514B" w:rsidRPr="00556AD5">
        <w:rPr>
          <w:sz w:val="24"/>
          <w:szCs w:val="24"/>
        </w:rPr>
        <w:t xml:space="preserve">achieve the plotters intention, renders the agreement an indictable conspiracy. </w:t>
      </w:r>
    </w:p>
    <w:p w:rsidR="00D17E9E" w:rsidRPr="00556AD5" w:rsidRDefault="00D17E9E" w:rsidP="00D17E9E">
      <w:pPr>
        <w:pStyle w:val="ListParagraph"/>
        <w:ind w:left="567"/>
        <w:rPr>
          <w:sz w:val="24"/>
          <w:szCs w:val="24"/>
        </w:rPr>
      </w:pPr>
    </w:p>
    <w:p w:rsidR="00D17E9E" w:rsidRPr="00556AD5" w:rsidRDefault="00D17E9E" w:rsidP="00D17E9E">
      <w:pPr>
        <w:pStyle w:val="ListParagraph"/>
        <w:numPr>
          <w:ilvl w:val="0"/>
          <w:numId w:val="11"/>
        </w:numPr>
        <w:ind w:left="567" w:hanging="567"/>
        <w:rPr>
          <w:sz w:val="24"/>
          <w:szCs w:val="24"/>
        </w:rPr>
      </w:pPr>
      <w:r w:rsidRPr="00556AD5">
        <w:rPr>
          <w:sz w:val="24"/>
          <w:szCs w:val="24"/>
        </w:rPr>
        <w:t xml:space="preserve">However, despite the wording of </w:t>
      </w:r>
      <w:proofErr w:type="spellStart"/>
      <w:r w:rsidRPr="00556AD5">
        <w:rPr>
          <w:i/>
          <w:sz w:val="24"/>
          <w:szCs w:val="24"/>
        </w:rPr>
        <w:t>Mulcahy</w:t>
      </w:r>
      <w:proofErr w:type="spellEnd"/>
      <w:r w:rsidRPr="00556AD5">
        <w:rPr>
          <w:sz w:val="24"/>
          <w:szCs w:val="24"/>
        </w:rPr>
        <w:t>, “</w:t>
      </w:r>
      <w:r w:rsidRPr="00556AD5">
        <w:rPr>
          <w:i/>
          <w:sz w:val="24"/>
          <w:szCs w:val="24"/>
        </w:rPr>
        <w:t>unlawful</w:t>
      </w:r>
      <w:r w:rsidRPr="00556AD5">
        <w:rPr>
          <w:sz w:val="24"/>
          <w:szCs w:val="24"/>
        </w:rPr>
        <w:t>” does not only mean criminal.</w:t>
      </w:r>
      <w:r w:rsidRPr="00556AD5">
        <w:rPr>
          <w:rStyle w:val="FootnoteReference"/>
          <w:sz w:val="24"/>
          <w:szCs w:val="24"/>
        </w:rPr>
        <w:footnoteReference w:id="108"/>
      </w:r>
      <w:r w:rsidRPr="00556AD5">
        <w:rPr>
          <w:sz w:val="24"/>
          <w:szCs w:val="24"/>
        </w:rPr>
        <w:t xml:space="preserve"> As Lord Cockburn CJ explained in </w:t>
      </w:r>
      <w:r w:rsidRPr="00556AD5">
        <w:rPr>
          <w:i/>
          <w:sz w:val="24"/>
          <w:szCs w:val="24"/>
        </w:rPr>
        <w:t>Warburton</w:t>
      </w:r>
      <w:r w:rsidRPr="00556AD5">
        <w:rPr>
          <w:sz w:val="24"/>
          <w:szCs w:val="24"/>
        </w:rPr>
        <w:t>:</w:t>
      </w:r>
      <w:r w:rsidRPr="00556AD5">
        <w:rPr>
          <w:rStyle w:val="FootnoteReference"/>
          <w:sz w:val="24"/>
          <w:szCs w:val="24"/>
        </w:rPr>
        <w:footnoteReference w:id="109"/>
      </w:r>
    </w:p>
    <w:p w:rsidR="00D17E9E" w:rsidRPr="00556AD5" w:rsidRDefault="00D17E9E" w:rsidP="00D17E9E">
      <w:pPr>
        <w:pStyle w:val="ListParagraph"/>
        <w:rPr>
          <w:sz w:val="24"/>
          <w:szCs w:val="24"/>
        </w:rPr>
      </w:pPr>
    </w:p>
    <w:p w:rsidR="00D17E9E" w:rsidRDefault="00D17E9E" w:rsidP="00641F49">
      <w:pPr>
        <w:pStyle w:val="ListParagraph"/>
        <w:widowControl w:val="0"/>
        <w:tabs>
          <w:tab w:val="left" w:pos="720"/>
        </w:tabs>
        <w:spacing w:line="240" w:lineRule="auto"/>
        <w:rPr>
          <w:szCs w:val="24"/>
        </w:rPr>
      </w:pPr>
      <w:r w:rsidRPr="00556AD5">
        <w:rPr>
          <w:sz w:val="24"/>
          <w:szCs w:val="24"/>
        </w:rPr>
        <w:t>“</w:t>
      </w:r>
      <w:r w:rsidRPr="00556AD5">
        <w:rPr>
          <w:i/>
          <w:szCs w:val="24"/>
        </w:rPr>
        <w:t>It is sufficient to constitute a conspiracy if two or more persons combine by fraud and false pretences to injure another. It is not necessary in order to constitute a conspiracy that the acts agreed to be done should be acts which if done alone would be criminal. It is enough if the acts agreed to be done, although not criminal, are wrongful, that is, amount to a civil wrong….. The facts of this case thus fall within the rule that when two fraudulently combine, the agreement may be criminal, although if the agreement were carried out no crime would be committed, but a civil wrong only would be indicted on a third party.</w:t>
      </w:r>
      <w:r w:rsidRPr="00556AD5">
        <w:rPr>
          <w:szCs w:val="24"/>
        </w:rPr>
        <w:t xml:space="preserve">” </w:t>
      </w:r>
    </w:p>
    <w:p w:rsidR="00641F49" w:rsidRPr="00556AD5" w:rsidRDefault="00641F49" w:rsidP="00641F49">
      <w:pPr>
        <w:pStyle w:val="ListParagraph"/>
        <w:widowControl w:val="0"/>
        <w:tabs>
          <w:tab w:val="left" w:pos="720"/>
        </w:tabs>
        <w:spacing w:line="240" w:lineRule="auto"/>
        <w:rPr>
          <w:sz w:val="24"/>
          <w:szCs w:val="24"/>
        </w:rPr>
      </w:pPr>
    </w:p>
    <w:p w:rsidR="00641F49" w:rsidRDefault="0061514B" w:rsidP="0061514B">
      <w:pPr>
        <w:pStyle w:val="ListParagraph"/>
        <w:widowControl w:val="0"/>
        <w:numPr>
          <w:ilvl w:val="0"/>
          <w:numId w:val="11"/>
        </w:numPr>
        <w:autoSpaceDE w:val="0"/>
        <w:autoSpaceDN w:val="0"/>
        <w:adjustRightInd w:val="0"/>
        <w:spacing w:after="0" w:line="240" w:lineRule="auto"/>
        <w:ind w:left="567" w:hanging="567"/>
        <w:rPr>
          <w:rFonts w:cs="Times New Roman"/>
          <w:sz w:val="24"/>
        </w:rPr>
      </w:pPr>
      <w:r w:rsidRPr="00556AD5">
        <w:rPr>
          <w:rFonts w:cs="Times New Roman"/>
          <w:sz w:val="24"/>
        </w:rPr>
        <w:t>There is much authority for the proposition.</w:t>
      </w:r>
      <w:r w:rsidRPr="00556AD5">
        <w:rPr>
          <w:rStyle w:val="FootnoteReference"/>
          <w:rFonts w:cs="Times New Roman"/>
          <w:sz w:val="24"/>
        </w:rPr>
        <w:t xml:space="preserve"> </w:t>
      </w:r>
      <w:r w:rsidRPr="00556AD5">
        <w:rPr>
          <w:rStyle w:val="FootnoteReference"/>
          <w:rFonts w:cs="Times New Roman"/>
          <w:sz w:val="24"/>
        </w:rPr>
        <w:footnoteReference w:id="110"/>
      </w:r>
      <w:r w:rsidRPr="00556AD5">
        <w:rPr>
          <w:rStyle w:val="FootnoteReference"/>
          <w:rFonts w:cs="Times New Roman"/>
          <w:sz w:val="24"/>
        </w:rPr>
        <w:t xml:space="preserve"> </w:t>
      </w:r>
    </w:p>
    <w:p w:rsidR="00D17E9E" w:rsidRPr="00556AD5" w:rsidRDefault="00641F49" w:rsidP="0061514B">
      <w:pPr>
        <w:pStyle w:val="ListParagraph"/>
        <w:widowControl w:val="0"/>
        <w:numPr>
          <w:ilvl w:val="0"/>
          <w:numId w:val="11"/>
        </w:numPr>
        <w:autoSpaceDE w:val="0"/>
        <w:autoSpaceDN w:val="0"/>
        <w:adjustRightInd w:val="0"/>
        <w:spacing w:after="0" w:line="240" w:lineRule="auto"/>
        <w:ind w:left="567" w:hanging="567"/>
        <w:rPr>
          <w:rFonts w:cs="Times New Roman"/>
          <w:sz w:val="24"/>
        </w:rPr>
      </w:pPr>
      <w:r>
        <w:rPr>
          <w:rFonts w:cs="Times New Roman"/>
          <w:sz w:val="24"/>
        </w:rPr>
        <w:lastRenderedPageBreak/>
        <w:t xml:space="preserve">What it means is less clear. </w:t>
      </w:r>
      <w:r w:rsidR="0061514B" w:rsidRPr="00556AD5">
        <w:rPr>
          <w:rFonts w:cs="Times New Roman"/>
          <w:sz w:val="24"/>
        </w:rPr>
        <w:t xml:space="preserve">The Law Commission </w:t>
      </w:r>
      <w:r w:rsidR="00A37A69">
        <w:rPr>
          <w:rFonts w:cs="Times New Roman"/>
          <w:sz w:val="24"/>
        </w:rPr>
        <w:t xml:space="preserve">said </w:t>
      </w:r>
      <w:r w:rsidR="0061514B" w:rsidRPr="00556AD5">
        <w:rPr>
          <w:rFonts w:cs="Times New Roman"/>
          <w:sz w:val="24"/>
        </w:rPr>
        <w:t>in 1976:</w:t>
      </w:r>
      <w:r w:rsidR="00D17E9E" w:rsidRPr="00556AD5">
        <w:rPr>
          <w:rStyle w:val="FootnoteReference"/>
          <w:rFonts w:cs="Times New Roman"/>
          <w:sz w:val="24"/>
        </w:rPr>
        <w:footnoteReference w:id="111"/>
      </w:r>
      <w:r w:rsidR="0061514B" w:rsidRPr="00556AD5">
        <w:rPr>
          <w:rFonts w:cs="Times New Roman"/>
          <w:sz w:val="24"/>
        </w:rPr>
        <w:t xml:space="preserve"> </w:t>
      </w:r>
    </w:p>
    <w:p w:rsidR="00D17E9E" w:rsidRPr="00556AD5" w:rsidRDefault="00D17E9E" w:rsidP="00D17E9E">
      <w:pPr>
        <w:pStyle w:val="ListParagraph"/>
        <w:autoSpaceDE w:val="0"/>
        <w:autoSpaceDN w:val="0"/>
        <w:adjustRightInd w:val="0"/>
        <w:spacing w:after="0" w:line="240" w:lineRule="auto"/>
        <w:ind w:left="567"/>
        <w:rPr>
          <w:rFonts w:cs="Times New Roman"/>
          <w:sz w:val="24"/>
        </w:rPr>
      </w:pPr>
    </w:p>
    <w:p w:rsidR="00D17E9E" w:rsidRPr="00556AD5" w:rsidRDefault="00D17E9E" w:rsidP="00D17E9E">
      <w:pPr>
        <w:autoSpaceDE w:val="0"/>
        <w:autoSpaceDN w:val="0"/>
        <w:adjustRightInd w:val="0"/>
        <w:spacing w:after="0" w:line="240" w:lineRule="auto"/>
        <w:ind w:left="709"/>
        <w:rPr>
          <w:rFonts w:cs="Times New Roman"/>
        </w:rPr>
      </w:pPr>
      <w:r w:rsidRPr="00556AD5">
        <w:rPr>
          <w:rFonts w:cs="Times New Roman"/>
          <w:i/>
        </w:rPr>
        <w:t xml:space="preserve">Agreement to commit an offence is, of course, one instance of the crime of conspiracy. However, in addition, an agreement to </w:t>
      </w:r>
      <w:proofErr w:type="gramStart"/>
      <w:r w:rsidRPr="00556AD5">
        <w:rPr>
          <w:rFonts w:cs="Times New Roman"/>
          <w:i/>
        </w:rPr>
        <w:t>effect</w:t>
      </w:r>
      <w:proofErr w:type="gramEnd"/>
      <w:r w:rsidRPr="00556AD5">
        <w:rPr>
          <w:rFonts w:cs="Times New Roman"/>
          <w:i/>
        </w:rPr>
        <w:t xml:space="preserve"> some “unlawful” object, not itself an offence if committed by one person, can amount to the crime of conspiracy. This is because of the wide meaning which has been given to “unlawful” in this context. The exact extent of these “unlawful” objects (other than crimes) is far from clear. </w:t>
      </w:r>
      <w:r w:rsidRPr="00556AD5">
        <w:rPr>
          <w:rFonts w:cs="Times New Roman"/>
          <w:b/>
          <w:bCs/>
          <w:i/>
        </w:rPr>
        <w:t xml:space="preserve">. . . . </w:t>
      </w:r>
      <w:r w:rsidRPr="00556AD5">
        <w:rPr>
          <w:rFonts w:cs="Times New Roman"/>
          <w:i/>
        </w:rPr>
        <w:t>The extended meaning of “unlawful” thus leads to the result that, so long as two or more combine, they can, in certain circumstances, be punished for doing something which would not be criminal if one of them alone had done it.</w:t>
      </w:r>
    </w:p>
    <w:p w:rsidR="00D17E9E" w:rsidRPr="00556AD5" w:rsidRDefault="00D17E9E" w:rsidP="00D17E9E">
      <w:pPr>
        <w:autoSpaceDE w:val="0"/>
        <w:autoSpaceDN w:val="0"/>
        <w:adjustRightInd w:val="0"/>
        <w:spacing w:after="0" w:line="240" w:lineRule="auto"/>
        <w:rPr>
          <w:rFonts w:cs="Times New Roman"/>
          <w:sz w:val="24"/>
        </w:rPr>
      </w:pPr>
    </w:p>
    <w:p w:rsidR="00F71B75" w:rsidRPr="00556AD5" w:rsidRDefault="00F71B75" w:rsidP="00F71B75">
      <w:pPr>
        <w:pStyle w:val="ListParagraph"/>
        <w:numPr>
          <w:ilvl w:val="0"/>
          <w:numId w:val="11"/>
        </w:numPr>
        <w:autoSpaceDE w:val="0"/>
        <w:autoSpaceDN w:val="0"/>
        <w:adjustRightInd w:val="0"/>
        <w:spacing w:after="0" w:line="240" w:lineRule="auto"/>
        <w:ind w:left="567" w:right="357" w:hanging="567"/>
        <w:rPr>
          <w:sz w:val="24"/>
        </w:rPr>
      </w:pPr>
      <w:r w:rsidRPr="00A37A69">
        <w:rPr>
          <w:sz w:val="24"/>
          <w:szCs w:val="24"/>
        </w:rPr>
        <w:t>Common law conspiracy was of course abolished and replaced with statutory conspiracy in in 1977</w:t>
      </w:r>
      <w:r w:rsidR="00A37A69">
        <w:rPr>
          <w:sz w:val="24"/>
          <w:szCs w:val="24"/>
        </w:rPr>
        <w:t xml:space="preserve">. However, not only was </w:t>
      </w:r>
      <w:r w:rsidRPr="00A37A69">
        <w:rPr>
          <w:sz w:val="24"/>
          <w:szCs w:val="24"/>
        </w:rPr>
        <w:t xml:space="preserve">conspiracy to defraud </w:t>
      </w:r>
      <w:r w:rsidR="00A37A69">
        <w:rPr>
          <w:sz w:val="24"/>
          <w:szCs w:val="24"/>
        </w:rPr>
        <w:t>preserved,</w:t>
      </w:r>
      <w:r w:rsidRPr="00A37A69">
        <w:rPr>
          <w:rStyle w:val="FootnoteReference"/>
          <w:sz w:val="24"/>
          <w:szCs w:val="24"/>
        </w:rPr>
        <w:footnoteReference w:id="112"/>
      </w:r>
      <w:r w:rsidRPr="00A37A69">
        <w:rPr>
          <w:sz w:val="24"/>
          <w:szCs w:val="24"/>
        </w:rPr>
        <w:t xml:space="preserve">  </w:t>
      </w:r>
      <w:r w:rsidR="00A37A69">
        <w:rPr>
          <w:sz w:val="24"/>
          <w:szCs w:val="24"/>
        </w:rPr>
        <w:t xml:space="preserve">but it is clear that it was preserved in its common law form. </w:t>
      </w:r>
      <w:r w:rsidRPr="00A37A69">
        <w:rPr>
          <w:sz w:val="24"/>
          <w:szCs w:val="24"/>
        </w:rPr>
        <w:t xml:space="preserve">In </w:t>
      </w:r>
      <w:r w:rsidRPr="00A37A69">
        <w:rPr>
          <w:i/>
          <w:sz w:val="24"/>
          <w:szCs w:val="24"/>
        </w:rPr>
        <w:t>Ayres</w:t>
      </w:r>
      <w:r w:rsidR="0061514B" w:rsidRPr="00A37A69">
        <w:rPr>
          <w:i/>
          <w:sz w:val="24"/>
          <w:szCs w:val="24"/>
        </w:rPr>
        <w:t>,</w:t>
      </w:r>
      <w:r w:rsidR="0061514B" w:rsidRPr="00A37A69">
        <w:rPr>
          <w:rStyle w:val="FootnoteReference"/>
          <w:i/>
          <w:sz w:val="24"/>
          <w:szCs w:val="24"/>
        </w:rPr>
        <w:footnoteReference w:id="113"/>
      </w:r>
      <w:r w:rsidRPr="00A37A69">
        <w:rPr>
          <w:sz w:val="24"/>
          <w:szCs w:val="24"/>
        </w:rPr>
        <w:t xml:space="preserve"> </w:t>
      </w:r>
      <w:r w:rsidR="0061514B" w:rsidRPr="00A37A69">
        <w:rPr>
          <w:sz w:val="24"/>
          <w:szCs w:val="24"/>
        </w:rPr>
        <w:t xml:space="preserve">the point was argued before </w:t>
      </w:r>
      <w:r w:rsidR="00A37A69">
        <w:rPr>
          <w:sz w:val="24"/>
          <w:szCs w:val="24"/>
        </w:rPr>
        <w:t xml:space="preserve">Lord Bridge </w:t>
      </w:r>
      <w:r w:rsidR="009F1C6F" w:rsidRPr="00A37A69">
        <w:rPr>
          <w:sz w:val="24"/>
          <w:szCs w:val="24"/>
        </w:rPr>
        <w:t xml:space="preserve">on behalf of the Crown </w:t>
      </w:r>
      <w:r w:rsidR="0061514B" w:rsidRPr="00A37A69">
        <w:rPr>
          <w:rFonts w:cs="Times New Roman"/>
          <w:sz w:val="24"/>
          <w:szCs w:val="24"/>
        </w:rPr>
        <w:t>by Igor Judge QC (as he then was)</w:t>
      </w:r>
      <w:r w:rsidR="009F1C6F" w:rsidRPr="00A37A69">
        <w:rPr>
          <w:rFonts w:cs="Times New Roman"/>
          <w:sz w:val="24"/>
          <w:szCs w:val="24"/>
        </w:rPr>
        <w:t>.</w:t>
      </w:r>
      <w:r w:rsidR="009F1C6F" w:rsidRPr="00A37A69">
        <w:rPr>
          <w:rStyle w:val="FootnoteReference"/>
          <w:rFonts w:cs="Times New Roman"/>
          <w:sz w:val="24"/>
          <w:szCs w:val="24"/>
        </w:rPr>
        <w:footnoteReference w:id="114"/>
      </w:r>
      <w:r w:rsidR="0061514B" w:rsidRPr="00A37A69">
        <w:rPr>
          <w:rFonts w:cs="Times New Roman"/>
          <w:sz w:val="24"/>
          <w:szCs w:val="24"/>
        </w:rPr>
        <w:t xml:space="preserve"> </w:t>
      </w:r>
      <w:r w:rsidR="0061514B" w:rsidRPr="00A37A69">
        <w:rPr>
          <w:sz w:val="24"/>
          <w:szCs w:val="24"/>
        </w:rPr>
        <w:t xml:space="preserve">Lord Bridge </w:t>
      </w:r>
      <w:r w:rsidRPr="00A37A69">
        <w:rPr>
          <w:sz w:val="24"/>
          <w:szCs w:val="24"/>
        </w:rPr>
        <w:t>stated</w:t>
      </w:r>
      <w:r w:rsidRPr="00556AD5">
        <w:rPr>
          <w:sz w:val="24"/>
        </w:rPr>
        <w:t>:</w:t>
      </w:r>
      <w:r w:rsidRPr="00556AD5">
        <w:rPr>
          <w:rStyle w:val="FootnoteReference"/>
          <w:sz w:val="24"/>
        </w:rPr>
        <w:footnoteReference w:id="115"/>
      </w:r>
    </w:p>
    <w:p w:rsidR="00F71B75" w:rsidRPr="00556AD5" w:rsidRDefault="00F71B75" w:rsidP="00F71B75">
      <w:pPr>
        <w:pStyle w:val="Extract"/>
        <w:ind w:right="357"/>
        <w:rPr>
          <w:rFonts w:asciiTheme="minorHAnsi" w:hAnsiTheme="minorHAnsi"/>
          <w:sz w:val="24"/>
        </w:rPr>
      </w:pPr>
    </w:p>
    <w:p w:rsidR="00F71B75" w:rsidRPr="00556AD5" w:rsidRDefault="00F71B75" w:rsidP="00F71B75">
      <w:pPr>
        <w:autoSpaceDE w:val="0"/>
        <w:autoSpaceDN w:val="0"/>
        <w:adjustRightInd w:val="0"/>
        <w:spacing w:after="0" w:line="240" w:lineRule="auto"/>
        <w:ind w:left="851"/>
        <w:rPr>
          <w:rFonts w:cs="Times New Roman"/>
          <w:i/>
          <w:szCs w:val="21"/>
        </w:rPr>
      </w:pPr>
      <w:proofErr w:type="gramStart"/>
      <w:r w:rsidRPr="00556AD5">
        <w:rPr>
          <w:rFonts w:cs="Times New Roman"/>
          <w:i/>
          <w:szCs w:val="21"/>
        </w:rPr>
        <w:t>the</w:t>
      </w:r>
      <w:proofErr w:type="gramEnd"/>
      <w:r w:rsidRPr="00556AD5">
        <w:rPr>
          <w:rFonts w:cs="Times New Roman"/>
          <w:i/>
          <w:szCs w:val="21"/>
        </w:rPr>
        <w:t xml:space="preserve"> phase "conspiracy to defraud" in section 5(2) of the Act must be construed as limited to an agreement which, if carried into effect, would not necessarily involve the commission of any substantive criminal offence by any of the conspirators.</w:t>
      </w:r>
    </w:p>
    <w:p w:rsidR="00F71B75" w:rsidRPr="00556AD5" w:rsidRDefault="00F71B75" w:rsidP="00F71B75">
      <w:pPr>
        <w:autoSpaceDE w:val="0"/>
        <w:autoSpaceDN w:val="0"/>
        <w:adjustRightInd w:val="0"/>
        <w:spacing w:after="0" w:line="240" w:lineRule="auto"/>
        <w:ind w:left="851"/>
        <w:rPr>
          <w:rFonts w:cs="Times New Roman"/>
          <w:i/>
          <w:szCs w:val="21"/>
        </w:rPr>
      </w:pPr>
    </w:p>
    <w:p w:rsidR="00F71B75" w:rsidRPr="00556AD5" w:rsidRDefault="00F71B75" w:rsidP="00F71B75">
      <w:pPr>
        <w:autoSpaceDE w:val="0"/>
        <w:autoSpaceDN w:val="0"/>
        <w:adjustRightInd w:val="0"/>
        <w:spacing w:after="0" w:line="240" w:lineRule="auto"/>
        <w:ind w:firstLine="567"/>
        <w:rPr>
          <w:rFonts w:cs="Times New Roman"/>
          <w:sz w:val="24"/>
          <w:szCs w:val="21"/>
        </w:rPr>
      </w:pPr>
      <w:r w:rsidRPr="00556AD5">
        <w:rPr>
          <w:rFonts w:cs="Times New Roman"/>
          <w:sz w:val="24"/>
          <w:szCs w:val="21"/>
        </w:rPr>
        <w:t xml:space="preserve">In </w:t>
      </w:r>
      <w:r w:rsidRPr="00556AD5">
        <w:rPr>
          <w:rFonts w:cs="Times New Roman"/>
          <w:i/>
          <w:sz w:val="24"/>
          <w:szCs w:val="21"/>
        </w:rPr>
        <w:t>Cooke</w:t>
      </w:r>
      <w:r w:rsidR="0061514B" w:rsidRPr="00556AD5">
        <w:rPr>
          <w:rStyle w:val="FootnoteReference"/>
          <w:i/>
          <w:sz w:val="24"/>
        </w:rPr>
        <w:footnoteReference w:id="116"/>
      </w:r>
      <w:r w:rsidRPr="00556AD5">
        <w:rPr>
          <w:rFonts w:cs="Times New Roman"/>
          <w:i/>
          <w:sz w:val="24"/>
          <w:szCs w:val="21"/>
        </w:rPr>
        <w:t xml:space="preserve"> </w:t>
      </w:r>
      <w:r w:rsidRPr="00556AD5">
        <w:rPr>
          <w:rFonts w:cs="Times New Roman"/>
          <w:sz w:val="24"/>
          <w:szCs w:val="21"/>
        </w:rPr>
        <w:t>he cited the above passage,</w:t>
      </w:r>
      <w:r w:rsidRPr="00556AD5">
        <w:rPr>
          <w:rStyle w:val="FootnoteReference"/>
          <w:rFonts w:cs="Times New Roman"/>
          <w:sz w:val="24"/>
          <w:szCs w:val="21"/>
        </w:rPr>
        <w:footnoteReference w:id="117"/>
      </w:r>
      <w:r w:rsidRPr="00556AD5">
        <w:rPr>
          <w:rFonts w:cs="Times New Roman"/>
          <w:sz w:val="24"/>
          <w:szCs w:val="21"/>
        </w:rPr>
        <w:t xml:space="preserve"> and added</w:t>
      </w:r>
      <w:r w:rsidRPr="00556AD5">
        <w:rPr>
          <w:rStyle w:val="FootnoteReference"/>
          <w:rFonts w:cs="Times New Roman"/>
          <w:sz w:val="24"/>
          <w:szCs w:val="21"/>
        </w:rPr>
        <w:footnoteReference w:id="118"/>
      </w:r>
      <w:r w:rsidRPr="00556AD5">
        <w:rPr>
          <w:rFonts w:cs="Times New Roman"/>
          <w:sz w:val="24"/>
          <w:szCs w:val="21"/>
        </w:rPr>
        <w:t>:</w:t>
      </w:r>
    </w:p>
    <w:p w:rsidR="00F71B75" w:rsidRPr="00556AD5" w:rsidRDefault="00F71B75" w:rsidP="00F71B75">
      <w:pPr>
        <w:autoSpaceDE w:val="0"/>
        <w:autoSpaceDN w:val="0"/>
        <w:adjustRightInd w:val="0"/>
        <w:spacing w:after="0" w:line="240" w:lineRule="auto"/>
        <w:ind w:firstLine="567"/>
        <w:rPr>
          <w:rFonts w:cs="Times New Roman"/>
          <w:szCs w:val="21"/>
        </w:rPr>
      </w:pPr>
    </w:p>
    <w:p w:rsidR="00F71B75" w:rsidRPr="00556AD5" w:rsidRDefault="00F71B75" w:rsidP="00F71B75">
      <w:pPr>
        <w:autoSpaceDE w:val="0"/>
        <w:autoSpaceDN w:val="0"/>
        <w:adjustRightInd w:val="0"/>
        <w:spacing w:after="0" w:line="240" w:lineRule="auto"/>
        <w:ind w:left="851"/>
        <w:rPr>
          <w:rFonts w:cs="Times New Roman"/>
          <w:i/>
          <w:szCs w:val="17"/>
        </w:rPr>
      </w:pPr>
      <w:r w:rsidRPr="00556AD5">
        <w:rPr>
          <w:rFonts w:cs="Arial"/>
          <w:i/>
          <w:szCs w:val="17"/>
        </w:rPr>
        <w:t xml:space="preserve">It </w:t>
      </w:r>
      <w:r w:rsidRPr="00556AD5">
        <w:rPr>
          <w:rFonts w:cs="Times New Roman"/>
          <w:i/>
          <w:szCs w:val="17"/>
        </w:rPr>
        <w:t xml:space="preserve">is, I apprehend, precisely in order to maintain the criminality of certain forms of fraudulent conduct when agreed to be pursued by persons acting in concert which would not of itself be criminal conduct on the part of an individual acting alone that conspiracy to defraud at common law has been preserved. </w:t>
      </w:r>
    </w:p>
    <w:p w:rsidR="00F71B75" w:rsidRPr="00556AD5" w:rsidRDefault="00F71B75" w:rsidP="00F71B75">
      <w:pPr>
        <w:autoSpaceDE w:val="0"/>
        <w:autoSpaceDN w:val="0"/>
        <w:adjustRightInd w:val="0"/>
        <w:spacing w:after="0" w:line="240" w:lineRule="auto"/>
        <w:ind w:left="851"/>
        <w:rPr>
          <w:rFonts w:cs="Times New Roman"/>
          <w:i/>
          <w:szCs w:val="17"/>
        </w:rPr>
      </w:pPr>
    </w:p>
    <w:p w:rsidR="00F71B75" w:rsidRPr="00556AD5" w:rsidRDefault="00F71B75" w:rsidP="00A37A69">
      <w:pPr>
        <w:autoSpaceDE w:val="0"/>
        <w:autoSpaceDN w:val="0"/>
        <w:adjustRightInd w:val="0"/>
        <w:spacing w:after="0" w:line="240" w:lineRule="auto"/>
        <w:ind w:left="851" w:hanging="284"/>
        <w:rPr>
          <w:rFonts w:cs="Times New Roman"/>
          <w:sz w:val="24"/>
          <w:szCs w:val="17"/>
        </w:rPr>
      </w:pPr>
      <w:r w:rsidRPr="00556AD5">
        <w:rPr>
          <w:rFonts w:cs="Times New Roman"/>
          <w:sz w:val="24"/>
          <w:szCs w:val="17"/>
        </w:rPr>
        <w:t xml:space="preserve">Later he </w:t>
      </w:r>
      <w:r w:rsidR="00A37A69">
        <w:rPr>
          <w:rFonts w:cs="Times New Roman"/>
          <w:sz w:val="24"/>
          <w:szCs w:val="17"/>
        </w:rPr>
        <w:t>said</w:t>
      </w:r>
      <w:r w:rsidRPr="00556AD5">
        <w:rPr>
          <w:rFonts w:cs="Times New Roman"/>
          <w:sz w:val="24"/>
          <w:szCs w:val="17"/>
        </w:rPr>
        <w:t>:</w:t>
      </w:r>
      <w:r w:rsidRPr="00556AD5">
        <w:rPr>
          <w:rStyle w:val="FootnoteReference"/>
          <w:rFonts w:cs="Times New Roman"/>
          <w:sz w:val="24"/>
          <w:szCs w:val="17"/>
        </w:rPr>
        <w:footnoteReference w:id="119"/>
      </w:r>
    </w:p>
    <w:p w:rsidR="00F71B75" w:rsidRPr="00556AD5" w:rsidRDefault="00F71B75" w:rsidP="00F71B75">
      <w:pPr>
        <w:autoSpaceDE w:val="0"/>
        <w:autoSpaceDN w:val="0"/>
        <w:adjustRightInd w:val="0"/>
        <w:spacing w:after="0" w:line="240" w:lineRule="auto"/>
        <w:ind w:left="851"/>
        <w:rPr>
          <w:rFonts w:cs="Times New Roman"/>
          <w:szCs w:val="17"/>
        </w:rPr>
      </w:pPr>
    </w:p>
    <w:p w:rsidR="00F71B75" w:rsidRPr="00556AD5" w:rsidRDefault="00F71B75" w:rsidP="00F71B75">
      <w:pPr>
        <w:autoSpaceDE w:val="0"/>
        <w:autoSpaceDN w:val="0"/>
        <w:adjustRightInd w:val="0"/>
        <w:spacing w:after="0" w:line="240" w:lineRule="auto"/>
        <w:ind w:left="851"/>
        <w:rPr>
          <w:rFonts w:cs="Times New Roman"/>
        </w:rPr>
      </w:pPr>
      <w:r w:rsidRPr="00556AD5">
        <w:rPr>
          <w:rFonts w:cs="Times New Roman"/>
          <w:i/>
        </w:rPr>
        <w:t xml:space="preserve">At the other end of the spectrum, if persons agree to pursue a course of fraudulent conduct which does not involve the commission of any specific offence, the appropriate charge will be conspiracy to defraud at </w:t>
      </w:r>
      <w:r w:rsidRPr="00556AD5">
        <w:rPr>
          <w:rFonts w:eastAsia="HiddenHorzOCR" w:cs="HiddenHorzOCR"/>
          <w:i/>
        </w:rPr>
        <w:t xml:space="preserve">common </w:t>
      </w:r>
      <w:r w:rsidRPr="00556AD5">
        <w:rPr>
          <w:rFonts w:cs="Times New Roman"/>
          <w:i/>
        </w:rPr>
        <w:t xml:space="preserve">law. The difficulty arises in the many cases, to which I regret I did not apply my mind in </w:t>
      </w:r>
      <w:r w:rsidRPr="00556AD5">
        <w:rPr>
          <w:rFonts w:cs="Times New Roman"/>
          <w:i/>
          <w:iCs/>
        </w:rPr>
        <w:t xml:space="preserve">R. </w:t>
      </w:r>
      <w:r w:rsidRPr="00556AD5">
        <w:rPr>
          <w:rFonts w:cs="Times New Roman"/>
          <w:i/>
        </w:rPr>
        <w:t xml:space="preserve">v. </w:t>
      </w:r>
      <w:r w:rsidRPr="00556AD5">
        <w:rPr>
          <w:rFonts w:cs="Times New Roman"/>
          <w:i/>
          <w:iCs/>
        </w:rPr>
        <w:t xml:space="preserve">Ayres, </w:t>
      </w:r>
      <w:r w:rsidRPr="00556AD5">
        <w:rPr>
          <w:rFonts w:cs="Times New Roman"/>
          <w:i/>
        </w:rPr>
        <w:t xml:space="preserve">where a course of conduct is agreed to be </w:t>
      </w:r>
      <w:r w:rsidRPr="00556AD5">
        <w:rPr>
          <w:rFonts w:cs="Times New Roman"/>
          <w:i/>
        </w:rPr>
        <w:lastRenderedPageBreak/>
        <w:t>pursued which involves the commission of one or more specific criminal offences, but over and above such specific criminal conduct the agreement, if carried out, will involve a substantial element of fraudulent conduct of a kind which on the part of an individual, would not be criminal at all.</w:t>
      </w:r>
    </w:p>
    <w:p w:rsidR="00F71B75" w:rsidRPr="00556AD5" w:rsidRDefault="00F71B75" w:rsidP="00F71B75">
      <w:pPr>
        <w:pStyle w:val="ListParagraph"/>
        <w:ind w:left="851"/>
        <w:rPr>
          <w:rFonts w:cs="Times New Roman"/>
          <w:i/>
        </w:rPr>
      </w:pPr>
    </w:p>
    <w:p w:rsidR="00D17E9E" w:rsidRPr="00556AD5" w:rsidRDefault="00D17E9E" w:rsidP="00D17E9E">
      <w:pPr>
        <w:pStyle w:val="ListParagraph"/>
        <w:numPr>
          <w:ilvl w:val="0"/>
          <w:numId w:val="11"/>
        </w:numPr>
        <w:autoSpaceDE w:val="0"/>
        <w:autoSpaceDN w:val="0"/>
        <w:adjustRightInd w:val="0"/>
        <w:spacing w:after="0" w:line="240" w:lineRule="auto"/>
        <w:ind w:left="567" w:hanging="567"/>
        <w:rPr>
          <w:rFonts w:cs="Times New Roman"/>
          <w:sz w:val="24"/>
        </w:rPr>
      </w:pPr>
      <w:r w:rsidRPr="00556AD5">
        <w:rPr>
          <w:rFonts w:cs="Times New Roman"/>
          <w:sz w:val="24"/>
        </w:rPr>
        <w:t>What non-criminal unlawfulness can constitute conspiracy to defraud</w:t>
      </w:r>
      <w:r w:rsidR="00641F49">
        <w:rPr>
          <w:rFonts w:cs="Times New Roman"/>
          <w:sz w:val="24"/>
        </w:rPr>
        <w:t>?</w:t>
      </w:r>
      <w:r w:rsidRPr="00556AD5">
        <w:rPr>
          <w:rFonts w:cs="Times New Roman"/>
          <w:sz w:val="24"/>
        </w:rPr>
        <w:t xml:space="preserve">  In his Guidelines, the Attorney-General gives four examples of dishonest activity which could be prosecuted as conspiracy to defraud and which is not otherwise covered by statute:</w:t>
      </w:r>
      <w:r w:rsidRPr="00556AD5">
        <w:rPr>
          <w:rStyle w:val="QuoteChar"/>
          <w:rFonts w:asciiTheme="minorHAnsi" w:hAnsiTheme="minorHAnsi"/>
        </w:rPr>
        <w:t xml:space="preserve"> </w:t>
      </w:r>
      <w:r w:rsidRPr="00556AD5">
        <w:rPr>
          <w:rStyle w:val="FootnoteReference"/>
        </w:rPr>
        <w:footnoteReference w:id="120"/>
      </w:r>
    </w:p>
    <w:p w:rsidR="00D17E9E" w:rsidRPr="00556AD5" w:rsidRDefault="00D17E9E" w:rsidP="00D17E9E">
      <w:pPr>
        <w:autoSpaceDE w:val="0"/>
        <w:autoSpaceDN w:val="0"/>
        <w:adjustRightInd w:val="0"/>
        <w:spacing w:after="0" w:line="240" w:lineRule="auto"/>
        <w:rPr>
          <w:rFonts w:cs="Times New Roman"/>
          <w:sz w:val="24"/>
        </w:rPr>
      </w:pPr>
    </w:p>
    <w:p w:rsidR="00D17E9E" w:rsidRPr="00A37A69" w:rsidRDefault="00D17E9E" w:rsidP="00A37A69">
      <w:pPr>
        <w:pStyle w:val="ListParagraph"/>
        <w:numPr>
          <w:ilvl w:val="0"/>
          <w:numId w:val="15"/>
        </w:numPr>
        <w:autoSpaceDE w:val="0"/>
        <w:autoSpaceDN w:val="0"/>
        <w:adjustRightInd w:val="0"/>
        <w:spacing w:after="0" w:line="240" w:lineRule="auto"/>
        <w:rPr>
          <w:sz w:val="24"/>
          <w:szCs w:val="24"/>
        </w:rPr>
      </w:pPr>
      <w:proofErr w:type="gramStart"/>
      <w:r w:rsidRPr="00A37A69">
        <w:rPr>
          <w:sz w:val="24"/>
          <w:szCs w:val="24"/>
        </w:rPr>
        <w:t>the</w:t>
      </w:r>
      <w:proofErr w:type="gramEnd"/>
      <w:r w:rsidRPr="00A37A69">
        <w:rPr>
          <w:sz w:val="24"/>
          <w:szCs w:val="24"/>
        </w:rPr>
        <w:t xml:space="preserve"> dishonest obtaining of land and other property which cannot be stolen such as intellectual property not protected by the </w:t>
      </w:r>
      <w:r w:rsidRPr="00A37A69">
        <w:rPr>
          <w:i/>
          <w:sz w:val="24"/>
          <w:szCs w:val="24"/>
        </w:rPr>
        <w:t>Copyright, Designs and Patents Act</w:t>
      </w:r>
      <w:r w:rsidRPr="00A37A69">
        <w:rPr>
          <w:sz w:val="24"/>
          <w:szCs w:val="24"/>
        </w:rPr>
        <w:t xml:space="preserve"> 1988 and the </w:t>
      </w:r>
      <w:r w:rsidRPr="00A37A69">
        <w:rPr>
          <w:i/>
          <w:sz w:val="24"/>
          <w:szCs w:val="24"/>
        </w:rPr>
        <w:t>Trademarks Act</w:t>
      </w:r>
      <w:r w:rsidRPr="00A37A69">
        <w:rPr>
          <w:sz w:val="24"/>
          <w:szCs w:val="24"/>
        </w:rPr>
        <w:t xml:space="preserve"> 1994, and other confidential information. However, the </w:t>
      </w:r>
      <w:r w:rsidRPr="00A37A69">
        <w:rPr>
          <w:i/>
          <w:sz w:val="24"/>
          <w:szCs w:val="24"/>
        </w:rPr>
        <w:t>Fraud Act</w:t>
      </w:r>
      <w:r w:rsidRPr="00A37A69">
        <w:rPr>
          <w:sz w:val="24"/>
          <w:szCs w:val="24"/>
        </w:rPr>
        <w:t xml:space="preserve"> will bite where there is intent to make a gain or cause a loss through false representation, failure to disclose information where there is a legal obligation to do so, or the abuse of position;</w:t>
      </w:r>
    </w:p>
    <w:p w:rsidR="00A37A69" w:rsidRPr="00A37A69" w:rsidRDefault="00A37A69" w:rsidP="00A37A69">
      <w:pPr>
        <w:pStyle w:val="ListParagraph"/>
        <w:autoSpaceDE w:val="0"/>
        <w:autoSpaceDN w:val="0"/>
        <w:adjustRightInd w:val="0"/>
        <w:spacing w:after="0" w:line="240" w:lineRule="auto"/>
        <w:ind w:left="1131"/>
        <w:rPr>
          <w:sz w:val="24"/>
          <w:szCs w:val="24"/>
        </w:rPr>
      </w:pPr>
    </w:p>
    <w:p w:rsidR="00A37A69" w:rsidRPr="00A37A69" w:rsidRDefault="00D17E9E" w:rsidP="00A37A69">
      <w:pPr>
        <w:pStyle w:val="ListParagraph"/>
        <w:numPr>
          <w:ilvl w:val="0"/>
          <w:numId w:val="15"/>
        </w:numPr>
        <w:autoSpaceDE w:val="0"/>
        <w:autoSpaceDN w:val="0"/>
        <w:adjustRightInd w:val="0"/>
        <w:spacing w:after="0" w:line="240" w:lineRule="auto"/>
        <w:rPr>
          <w:sz w:val="24"/>
          <w:szCs w:val="24"/>
        </w:rPr>
      </w:pPr>
      <w:r w:rsidRPr="00A37A69">
        <w:rPr>
          <w:rFonts w:cs="Times New Roman"/>
          <w:sz w:val="24"/>
        </w:rPr>
        <w:t>dishonestly infringing another’s right; for example the dishonest exploitation of another’s patent in the absence of a legal duty to disclose information about its existence;</w:t>
      </w:r>
    </w:p>
    <w:p w:rsidR="00A37A69" w:rsidRPr="00A37A69" w:rsidRDefault="00A37A69" w:rsidP="00A37A69">
      <w:pPr>
        <w:pStyle w:val="ListParagraph"/>
        <w:rPr>
          <w:rFonts w:cs="Times New Roman"/>
          <w:sz w:val="24"/>
        </w:rPr>
      </w:pPr>
    </w:p>
    <w:p w:rsidR="00A37A69" w:rsidRPr="00A37A69" w:rsidRDefault="00D17E9E" w:rsidP="00A37A69">
      <w:pPr>
        <w:pStyle w:val="ListParagraph"/>
        <w:numPr>
          <w:ilvl w:val="0"/>
          <w:numId w:val="15"/>
        </w:numPr>
        <w:autoSpaceDE w:val="0"/>
        <w:autoSpaceDN w:val="0"/>
        <w:adjustRightInd w:val="0"/>
        <w:spacing w:after="0" w:line="240" w:lineRule="auto"/>
        <w:rPr>
          <w:sz w:val="24"/>
          <w:szCs w:val="24"/>
        </w:rPr>
      </w:pPr>
      <w:r w:rsidRPr="00A37A69">
        <w:rPr>
          <w:rFonts w:cs="Times New Roman"/>
          <w:sz w:val="24"/>
        </w:rPr>
        <w:t xml:space="preserve">where it is intended that the final offence be committed by someone outside the conspiracy as in </w:t>
      </w:r>
      <w:proofErr w:type="spellStart"/>
      <w:r w:rsidRPr="00641F49">
        <w:rPr>
          <w:rFonts w:cs="Times New Roman"/>
          <w:i/>
          <w:sz w:val="24"/>
        </w:rPr>
        <w:t>Hollinshead</w:t>
      </w:r>
      <w:proofErr w:type="spellEnd"/>
      <w:r w:rsidR="00641F49" w:rsidRPr="00641F49">
        <w:rPr>
          <w:vertAlign w:val="superscript"/>
        </w:rPr>
        <w:footnoteReference w:id="121"/>
      </w:r>
      <w:r w:rsidRPr="00A37A69">
        <w:rPr>
          <w:rFonts w:cs="Times New Roman"/>
          <w:sz w:val="24"/>
        </w:rPr>
        <w:t xml:space="preserve"> (sale of black boxes which could be fitted to electricity meters and reverse the flow of current thus reducing the meter reading);</w:t>
      </w:r>
    </w:p>
    <w:p w:rsidR="00A37A69" w:rsidRPr="00A37A69" w:rsidRDefault="00A37A69" w:rsidP="00A37A69">
      <w:pPr>
        <w:pStyle w:val="ListParagraph"/>
        <w:rPr>
          <w:rFonts w:cs="Times New Roman"/>
          <w:sz w:val="24"/>
        </w:rPr>
      </w:pPr>
    </w:p>
    <w:p w:rsidR="00D17E9E" w:rsidRPr="00641F49" w:rsidRDefault="00D17E9E" w:rsidP="00A37A69">
      <w:pPr>
        <w:pStyle w:val="ListParagraph"/>
        <w:numPr>
          <w:ilvl w:val="0"/>
          <w:numId w:val="15"/>
        </w:numPr>
        <w:autoSpaceDE w:val="0"/>
        <w:autoSpaceDN w:val="0"/>
        <w:adjustRightInd w:val="0"/>
        <w:spacing w:after="0" w:line="240" w:lineRule="auto"/>
        <w:rPr>
          <w:sz w:val="24"/>
          <w:szCs w:val="24"/>
        </w:rPr>
      </w:pPr>
      <w:proofErr w:type="gramStart"/>
      <w:r w:rsidRPr="00A37A69">
        <w:rPr>
          <w:rFonts w:cs="Times New Roman"/>
          <w:sz w:val="24"/>
        </w:rPr>
        <w:t>cases</w:t>
      </w:r>
      <w:proofErr w:type="gramEnd"/>
      <w:r w:rsidRPr="00A37A69">
        <w:rPr>
          <w:rFonts w:cs="Times New Roman"/>
          <w:sz w:val="24"/>
        </w:rPr>
        <w:t xml:space="preserve"> where the accused cannot be proved to have had the necessary degree of knowledge of the substantive offence to be perpetrated</w:t>
      </w:r>
      <w:r w:rsidRPr="00556AD5">
        <w:t>.</w:t>
      </w:r>
    </w:p>
    <w:p w:rsidR="00641F49" w:rsidRPr="00641F49" w:rsidRDefault="00641F49" w:rsidP="00641F49">
      <w:pPr>
        <w:pStyle w:val="ListParagraph"/>
        <w:rPr>
          <w:sz w:val="24"/>
          <w:szCs w:val="24"/>
        </w:rPr>
      </w:pPr>
    </w:p>
    <w:p w:rsidR="00641F49" w:rsidRPr="00641F49" w:rsidRDefault="00641F49" w:rsidP="005F28B1">
      <w:pPr>
        <w:pStyle w:val="ASQC"/>
        <w:autoSpaceDE w:val="0"/>
        <w:autoSpaceDN w:val="0"/>
        <w:adjustRightInd w:val="0"/>
        <w:spacing w:after="0" w:line="240" w:lineRule="auto"/>
        <w:rPr>
          <w:rFonts w:cs="Times New Roman"/>
          <w:sz w:val="21"/>
          <w:szCs w:val="21"/>
        </w:rPr>
      </w:pPr>
      <w:r>
        <w:t xml:space="preserve">However, the judicial </w:t>
      </w:r>
      <w:proofErr w:type="gramStart"/>
      <w:r>
        <w:t>dicta is</w:t>
      </w:r>
      <w:proofErr w:type="gramEnd"/>
      <w:r>
        <w:t xml:space="preserve"> wide.  In </w:t>
      </w:r>
      <w:r w:rsidRPr="00641F49">
        <w:rPr>
          <w:i/>
        </w:rPr>
        <w:t>Whittaker</w:t>
      </w:r>
      <w:r>
        <w:t>,</w:t>
      </w:r>
      <w:r>
        <w:rPr>
          <w:rStyle w:val="FootnoteReference"/>
        </w:rPr>
        <w:footnoteReference w:id="122"/>
      </w:r>
      <w:r>
        <w:t xml:space="preserve"> the court ruled:</w:t>
      </w:r>
    </w:p>
    <w:p w:rsidR="00641F49" w:rsidRDefault="00641F49" w:rsidP="00641F49">
      <w:pPr>
        <w:pStyle w:val="ASQC"/>
        <w:numPr>
          <w:ilvl w:val="0"/>
          <w:numId w:val="0"/>
        </w:numPr>
        <w:autoSpaceDE w:val="0"/>
        <w:autoSpaceDN w:val="0"/>
        <w:adjustRightInd w:val="0"/>
        <w:spacing w:after="0" w:line="240" w:lineRule="auto"/>
        <w:ind w:left="567"/>
      </w:pPr>
    </w:p>
    <w:p w:rsidR="00641F49" w:rsidRDefault="001C3535" w:rsidP="00641F49">
      <w:pPr>
        <w:pStyle w:val="ASQC"/>
        <w:numPr>
          <w:ilvl w:val="0"/>
          <w:numId w:val="0"/>
        </w:numPr>
        <w:autoSpaceDE w:val="0"/>
        <w:autoSpaceDN w:val="0"/>
        <w:adjustRightInd w:val="0"/>
        <w:spacing w:after="0" w:line="240" w:lineRule="auto"/>
        <w:ind w:left="851"/>
        <w:rPr>
          <w:rFonts w:cs="Times New Roman"/>
          <w:i/>
          <w:sz w:val="21"/>
          <w:szCs w:val="21"/>
        </w:rPr>
      </w:pPr>
      <w:proofErr w:type="gramStart"/>
      <w:r w:rsidRPr="00641F49">
        <w:rPr>
          <w:rFonts w:cs="Times New Roman"/>
          <w:i/>
          <w:sz w:val="21"/>
          <w:szCs w:val="21"/>
        </w:rPr>
        <w:t>it</w:t>
      </w:r>
      <w:proofErr w:type="gramEnd"/>
      <w:r w:rsidRPr="00641F49">
        <w:rPr>
          <w:rFonts w:cs="Times New Roman"/>
          <w:i/>
          <w:sz w:val="21"/>
          <w:szCs w:val="21"/>
        </w:rPr>
        <w:t xml:space="preserve"> is enough if it be</w:t>
      </w:r>
      <w:r w:rsidR="00641F49" w:rsidRPr="00641F49">
        <w:rPr>
          <w:rFonts w:cs="Times New Roman"/>
          <w:i/>
          <w:sz w:val="21"/>
          <w:szCs w:val="21"/>
        </w:rPr>
        <w:t xml:space="preserve"> </w:t>
      </w:r>
      <w:r w:rsidRPr="00641F49">
        <w:rPr>
          <w:rFonts w:cs="Times New Roman"/>
          <w:i/>
          <w:sz w:val="21"/>
          <w:szCs w:val="21"/>
        </w:rPr>
        <w:t>an agreem</w:t>
      </w:r>
      <w:r w:rsidR="00641F49" w:rsidRPr="00641F49">
        <w:rPr>
          <w:rFonts w:cs="Times New Roman"/>
          <w:i/>
          <w:sz w:val="21"/>
          <w:szCs w:val="21"/>
        </w:rPr>
        <w:t>ent to do an act which is unlaw</w:t>
      </w:r>
      <w:r w:rsidRPr="00641F49">
        <w:rPr>
          <w:rFonts w:cs="Times New Roman"/>
          <w:i/>
          <w:sz w:val="21"/>
          <w:szCs w:val="21"/>
        </w:rPr>
        <w:t>ful or wrongful in the</w:t>
      </w:r>
      <w:r w:rsidR="00641F49" w:rsidRPr="00641F49">
        <w:rPr>
          <w:rFonts w:cs="Times New Roman"/>
          <w:i/>
          <w:sz w:val="21"/>
          <w:szCs w:val="21"/>
        </w:rPr>
        <w:t xml:space="preserve"> </w:t>
      </w:r>
      <w:r w:rsidRPr="00641F49">
        <w:rPr>
          <w:rFonts w:cs="Times New Roman"/>
          <w:i/>
          <w:sz w:val="21"/>
          <w:szCs w:val="21"/>
        </w:rPr>
        <w:t>sense of tortious. At any rate this is so where the agreement is</w:t>
      </w:r>
      <w:r w:rsidR="00641F49" w:rsidRPr="00641F49">
        <w:rPr>
          <w:rFonts w:cs="Times New Roman"/>
          <w:i/>
          <w:sz w:val="21"/>
          <w:szCs w:val="21"/>
        </w:rPr>
        <w:t xml:space="preserve"> </w:t>
      </w:r>
      <w:r w:rsidRPr="00641F49">
        <w:rPr>
          <w:rFonts w:cs="Times New Roman"/>
          <w:i/>
          <w:sz w:val="21"/>
          <w:szCs w:val="21"/>
        </w:rPr>
        <w:t>to do an act of fraud or corruption. There is authority for saying</w:t>
      </w:r>
      <w:r w:rsidR="00641F49" w:rsidRPr="00641F49">
        <w:rPr>
          <w:rFonts w:cs="Times New Roman"/>
          <w:i/>
          <w:sz w:val="21"/>
          <w:szCs w:val="21"/>
        </w:rPr>
        <w:t xml:space="preserve"> </w:t>
      </w:r>
      <w:r w:rsidRPr="00641F49">
        <w:rPr>
          <w:rFonts w:cs="Times New Roman"/>
          <w:i/>
          <w:sz w:val="21"/>
          <w:szCs w:val="21"/>
        </w:rPr>
        <w:t xml:space="preserve">that an agreement </w:t>
      </w:r>
      <w:r w:rsidRPr="00641F49">
        <w:rPr>
          <w:rFonts w:cs="Arial"/>
          <w:i/>
          <w:sz w:val="16"/>
          <w:szCs w:val="16"/>
        </w:rPr>
        <w:t xml:space="preserve">to </w:t>
      </w:r>
      <w:r w:rsidRPr="00641F49">
        <w:rPr>
          <w:rFonts w:cs="Times New Roman"/>
          <w:i/>
          <w:sz w:val="21"/>
          <w:szCs w:val="21"/>
        </w:rPr>
        <w:t>commit a mere trespass is not necessarily</w:t>
      </w:r>
      <w:r w:rsidR="00641F49" w:rsidRPr="00641F49">
        <w:rPr>
          <w:rFonts w:cs="Times New Roman"/>
          <w:i/>
          <w:sz w:val="21"/>
          <w:szCs w:val="21"/>
        </w:rPr>
        <w:t xml:space="preserve"> </w:t>
      </w:r>
      <w:r w:rsidRPr="00641F49">
        <w:rPr>
          <w:rFonts w:cs="Times New Roman"/>
          <w:i/>
          <w:sz w:val="21"/>
          <w:szCs w:val="21"/>
        </w:rPr>
        <w:t xml:space="preserve">a misdemeanour. </w:t>
      </w:r>
      <w:r w:rsidRPr="00641F49">
        <w:rPr>
          <w:rFonts w:cs="Arial"/>
          <w:i/>
          <w:sz w:val="19"/>
          <w:szCs w:val="19"/>
        </w:rPr>
        <w:t xml:space="preserve">If </w:t>
      </w:r>
      <w:r w:rsidRPr="00641F49">
        <w:rPr>
          <w:rFonts w:cs="Times New Roman"/>
          <w:i/>
          <w:sz w:val="21"/>
          <w:szCs w:val="21"/>
        </w:rPr>
        <w:t xml:space="preserve">that </w:t>
      </w:r>
      <w:r w:rsidRPr="00641F49">
        <w:rPr>
          <w:rFonts w:cs="Times New Roman"/>
          <w:i/>
          <w:sz w:val="20"/>
          <w:szCs w:val="20"/>
        </w:rPr>
        <w:t xml:space="preserve">be </w:t>
      </w:r>
      <w:r w:rsidRPr="00641F49">
        <w:rPr>
          <w:rFonts w:cs="Times New Roman"/>
          <w:i/>
          <w:sz w:val="21"/>
          <w:szCs w:val="21"/>
        </w:rPr>
        <w:t xml:space="preserve">law, as </w:t>
      </w:r>
      <w:r w:rsidRPr="00641F49">
        <w:rPr>
          <w:rFonts w:cs="Times New Roman"/>
          <w:i/>
          <w:sz w:val="18"/>
          <w:szCs w:val="18"/>
        </w:rPr>
        <w:t xml:space="preserve">to </w:t>
      </w:r>
      <w:r w:rsidRPr="00641F49">
        <w:rPr>
          <w:rFonts w:cs="Times New Roman"/>
          <w:i/>
          <w:sz w:val="21"/>
          <w:szCs w:val="21"/>
        </w:rPr>
        <w:t>which doubts have been</w:t>
      </w:r>
      <w:r w:rsidR="00641F49" w:rsidRPr="00641F49">
        <w:rPr>
          <w:rFonts w:cs="Times New Roman"/>
          <w:i/>
          <w:sz w:val="21"/>
          <w:szCs w:val="21"/>
        </w:rPr>
        <w:t xml:space="preserve"> e</w:t>
      </w:r>
      <w:r w:rsidRPr="00641F49">
        <w:rPr>
          <w:rFonts w:cs="Times New Roman"/>
          <w:i/>
          <w:sz w:val="21"/>
          <w:szCs w:val="21"/>
        </w:rPr>
        <w:t>xpressed by eminent judges, it is clear that where the tort is one</w:t>
      </w:r>
      <w:r w:rsidR="00641F49" w:rsidRPr="00641F49">
        <w:rPr>
          <w:rFonts w:cs="Times New Roman"/>
          <w:i/>
          <w:sz w:val="21"/>
          <w:szCs w:val="21"/>
        </w:rPr>
        <w:t xml:space="preserve"> </w:t>
      </w:r>
      <w:r w:rsidRPr="00641F49">
        <w:rPr>
          <w:rFonts w:cs="Times New Roman"/>
          <w:i/>
          <w:sz w:val="21"/>
          <w:szCs w:val="21"/>
        </w:rPr>
        <w:t>of fraud or corruption an agreement to commit it is a misdemeanour</w:t>
      </w:r>
      <w:r w:rsidR="00641F49" w:rsidRPr="00641F49">
        <w:rPr>
          <w:rFonts w:cs="Times New Roman"/>
          <w:i/>
          <w:sz w:val="21"/>
          <w:szCs w:val="21"/>
        </w:rPr>
        <w:t>.</w:t>
      </w:r>
      <w:r w:rsidRPr="00641F49">
        <w:rPr>
          <w:rFonts w:cs="Times New Roman"/>
          <w:i/>
          <w:sz w:val="21"/>
          <w:szCs w:val="21"/>
        </w:rPr>
        <w:t xml:space="preserve">   </w:t>
      </w:r>
    </w:p>
    <w:p w:rsidR="00641F49" w:rsidRDefault="00641F49" w:rsidP="00641F49">
      <w:pPr>
        <w:pStyle w:val="ASQC"/>
        <w:numPr>
          <w:ilvl w:val="0"/>
          <w:numId w:val="0"/>
        </w:numPr>
        <w:autoSpaceDE w:val="0"/>
        <w:autoSpaceDN w:val="0"/>
        <w:adjustRightInd w:val="0"/>
        <w:spacing w:after="0" w:line="240" w:lineRule="auto"/>
        <w:ind w:left="851"/>
        <w:rPr>
          <w:rFonts w:cs="Times New Roman"/>
          <w:i/>
          <w:sz w:val="21"/>
          <w:szCs w:val="21"/>
        </w:rPr>
      </w:pPr>
    </w:p>
    <w:p w:rsidR="00351F3A" w:rsidRDefault="00351F3A" w:rsidP="006B71A4">
      <w:pPr>
        <w:pStyle w:val="ASQC"/>
      </w:pPr>
      <w:r>
        <w:t xml:space="preserve">The authorities </w:t>
      </w:r>
      <w:r w:rsidR="00A913F4">
        <w:t xml:space="preserve">(conveniently collated in </w:t>
      </w:r>
      <w:r w:rsidR="00A913F4" w:rsidRPr="00A913F4">
        <w:rPr>
          <w:i/>
        </w:rPr>
        <w:t>Kamara</w:t>
      </w:r>
      <w:r w:rsidR="00A913F4">
        <w:t xml:space="preserve">) </w:t>
      </w:r>
      <w:r>
        <w:t xml:space="preserve">suggest the following: </w:t>
      </w:r>
    </w:p>
    <w:p w:rsidR="00D17E9E" w:rsidRPr="00351F3A" w:rsidRDefault="00D17E9E" w:rsidP="00351F3A">
      <w:pPr>
        <w:pStyle w:val="list1"/>
        <w:rPr>
          <w:b w:val="0"/>
          <w:smallCaps w:val="0"/>
        </w:rPr>
      </w:pPr>
      <w:r w:rsidRPr="00351F3A">
        <w:rPr>
          <w:b w:val="0"/>
          <w:smallCaps w:val="0"/>
        </w:rPr>
        <w:t>An agreement to injure or commit damage to another by tortious means;</w:t>
      </w:r>
      <w:r w:rsidR="00351F3A">
        <w:rPr>
          <w:b w:val="0"/>
          <w:smallCaps w:val="0"/>
        </w:rPr>
        <w:t xml:space="preserve"> </w:t>
      </w:r>
    </w:p>
    <w:p w:rsidR="00351F3A" w:rsidRDefault="00D17E9E" w:rsidP="00351F3A">
      <w:pPr>
        <w:pStyle w:val="list1"/>
        <w:rPr>
          <w:b w:val="0"/>
          <w:smallCaps w:val="0"/>
        </w:rPr>
      </w:pPr>
      <w:r w:rsidRPr="00351F3A">
        <w:rPr>
          <w:b w:val="0"/>
          <w:smallCaps w:val="0"/>
        </w:rPr>
        <w:t xml:space="preserve">An agreement to commit trespass </w:t>
      </w:r>
      <w:r w:rsidR="00351F3A">
        <w:rPr>
          <w:b w:val="0"/>
          <w:smallCaps w:val="0"/>
        </w:rPr>
        <w:t>(</w:t>
      </w:r>
      <w:r w:rsidRPr="00351F3A">
        <w:rPr>
          <w:b w:val="0"/>
          <w:smallCaps w:val="0"/>
        </w:rPr>
        <w:t>which effectively means agreements to exclude the victim from possession at least so to use his land or his cha</w:t>
      </w:r>
      <w:r w:rsidR="00351F3A">
        <w:rPr>
          <w:b w:val="0"/>
          <w:smallCaps w:val="0"/>
        </w:rPr>
        <w:t>t</w:t>
      </w:r>
      <w:r w:rsidRPr="00351F3A">
        <w:rPr>
          <w:b w:val="0"/>
          <w:smallCaps w:val="0"/>
        </w:rPr>
        <w:t xml:space="preserve">tel </w:t>
      </w:r>
      <w:r w:rsidR="00351F3A">
        <w:rPr>
          <w:b w:val="0"/>
          <w:smallCaps w:val="0"/>
        </w:rPr>
        <w:t xml:space="preserve">so </w:t>
      </w:r>
      <w:r w:rsidRPr="00351F3A">
        <w:rPr>
          <w:b w:val="0"/>
          <w:smallCaps w:val="0"/>
        </w:rPr>
        <w:lastRenderedPageBreak/>
        <w:t>as to deprive him of any effectual enjoyment of it or some part of it during the execution of the combination.</w:t>
      </w:r>
      <w:r w:rsidR="00351F3A">
        <w:rPr>
          <w:b w:val="0"/>
          <w:smallCaps w:val="0"/>
        </w:rPr>
        <w:t xml:space="preserve">) </w:t>
      </w:r>
    </w:p>
    <w:p w:rsidR="00A913F4" w:rsidRDefault="00A913F4" w:rsidP="00351F3A">
      <w:pPr>
        <w:pStyle w:val="list1"/>
        <w:rPr>
          <w:b w:val="0"/>
          <w:smallCaps w:val="0"/>
        </w:rPr>
      </w:pPr>
      <w:r>
        <w:rPr>
          <w:b w:val="0"/>
          <w:smallCaps w:val="0"/>
        </w:rPr>
        <w:t>An agreement to commit a tort of fraud or corruption;</w:t>
      </w:r>
    </w:p>
    <w:p w:rsidR="00351F3A" w:rsidRDefault="001C3535" w:rsidP="00351F3A">
      <w:pPr>
        <w:pStyle w:val="list1"/>
        <w:rPr>
          <w:b w:val="0"/>
          <w:smallCaps w:val="0"/>
        </w:rPr>
      </w:pPr>
      <w:r w:rsidRPr="00351F3A">
        <w:rPr>
          <w:b w:val="0"/>
          <w:smallCaps w:val="0"/>
        </w:rPr>
        <w:t>Procuring people to break their contracts</w:t>
      </w:r>
      <w:r w:rsidR="00A913F4">
        <w:rPr>
          <w:b w:val="0"/>
          <w:smallCaps w:val="0"/>
        </w:rPr>
        <w:t xml:space="preserve">; </w:t>
      </w:r>
    </w:p>
    <w:p w:rsidR="007239DF" w:rsidRPr="00351F3A" w:rsidRDefault="00351F3A" w:rsidP="00351F3A">
      <w:pPr>
        <w:pStyle w:val="list1"/>
        <w:rPr>
          <w:b w:val="0"/>
          <w:smallCaps w:val="0"/>
        </w:rPr>
      </w:pPr>
      <w:r>
        <w:rPr>
          <w:b w:val="0"/>
          <w:smallCaps w:val="0"/>
        </w:rPr>
        <w:t>Conspiring to injure a man in his trade without justification</w:t>
      </w:r>
      <w:r w:rsidR="00A913F4">
        <w:rPr>
          <w:b w:val="0"/>
          <w:smallCaps w:val="0"/>
        </w:rPr>
        <w:t>.</w:t>
      </w:r>
      <w:r w:rsidRPr="00351F3A">
        <w:rPr>
          <w:b w:val="0"/>
          <w:smallCaps w:val="0"/>
        </w:rPr>
        <w:t xml:space="preserve"> </w:t>
      </w:r>
    </w:p>
    <w:p w:rsidR="007239DF" w:rsidRPr="00556AD5" w:rsidRDefault="007239DF" w:rsidP="00B53C69">
      <w:pPr>
        <w:pStyle w:val="Extract"/>
        <w:ind w:left="0"/>
        <w:rPr>
          <w:rFonts w:asciiTheme="minorHAnsi" w:hAnsiTheme="minorHAnsi"/>
        </w:rPr>
      </w:pPr>
    </w:p>
    <w:p w:rsidR="006464A0" w:rsidRPr="00556AD5" w:rsidRDefault="00077E0D" w:rsidP="00F71B75">
      <w:pPr>
        <w:pStyle w:val="ListParagraph"/>
        <w:numPr>
          <w:ilvl w:val="0"/>
          <w:numId w:val="11"/>
        </w:numPr>
        <w:autoSpaceDE w:val="0"/>
        <w:autoSpaceDN w:val="0"/>
        <w:adjustRightInd w:val="0"/>
        <w:spacing w:after="0" w:line="240" w:lineRule="auto"/>
        <w:ind w:left="567" w:right="357" w:hanging="567"/>
        <w:rPr>
          <w:sz w:val="24"/>
          <w:szCs w:val="24"/>
        </w:rPr>
      </w:pPr>
      <w:r w:rsidRPr="00556AD5">
        <w:rPr>
          <w:sz w:val="24"/>
        </w:rPr>
        <w:t xml:space="preserve">However, </w:t>
      </w:r>
      <w:r w:rsidR="00351F3A">
        <w:rPr>
          <w:sz w:val="24"/>
        </w:rPr>
        <w:t xml:space="preserve">all these manifestation require that the other criteria for conspiracy to defraud be fulfilled.  The courts would not permit the offence to be used as a back door to resurrect other common law conspiracies. </w:t>
      </w:r>
      <w:r w:rsidR="00A913F4">
        <w:rPr>
          <w:sz w:val="24"/>
        </w:rPr>
        <w:t xml:space="preserve"> Most dubious activity would be covered by specific criminal statutes. However, one can conceive of an agreement where conspirators to seek to persuade X to breach his employment contract with Y in order to undermine or damage Y’s trade. </w:t>
      </w:r>
    </w:p>
    <w:p w:rsidR="00866EBF" w:rsidRPr="00556AD5" w:rsidRDefault="00866EBF" w:rsidP="00866EBF">
      <w:pPr>
        <w:pStyle w:val="ListParagraph"/>
        <w:ind w:left="567"/>
        <w:rPr>
          <w:sz w:val="24"/>
          <w:szCs w:val="24"/>
        </w:rPr>
      </w:pPr>
    </w:p>
    <w:p w:rsidR="002672EB" w:rsidRPr="00A913F4" w:rsidRDefault="002672EB" w:rsidP="00A913F4">
      <w:pPr>
        <w:rPr>
          <w:b/>
          <w:sz w:val="24"/>
          <w:szCs w:val="24"/>
        </w:rPr>
      </w:pPr>
      <w:r w:rsidRPr="00A913F4">
        <w:rPr>
          <w:b/>
          <w:sz w:val="24"/>
          <w:szCs w:val="24"/>
        </w:rPr>
        <w:t>Determining Unlawfulness</w:t>
      </w:r>
    </w:p>
    <w:p w:rsidR="002672EB" w:rsidRPr="00556AD5" w:rsidRDefault="002672EB" w:rsidP="00866EBF">
      <w:pPr>
        <w:pStyle w:val="ListParagraph"/>
        <w:ind w:left="567"/>
        <w:rPr>
          <w:b/>
          <w:sz w:val="24"/>
          <w:szCs w:val="24"/>
        </w:rPr>
      </w:pPr>
    </w:p>
    <w:p w:rsidR="00561C85" w:rsidRPr="00556AD5" w:rsidRDefault="002672EB" w:rsidP="005C19CA">
      <w:pPr>
        <w:pStyle w:val="ListParagraph"/>
        <w:numPr>
          <w:ilvl w:val="0"/>
          <w:numId w:val="11"/>
        </w:numPr>
        <w:ind w:left="567" w:hanging="567"/>
        <w:rPr>
          <w:sz w:val="24"/>
          <w:szCs w:val="24"/>
        </w:rPr>
      </w:pPr>
      <w:r w:rsidRPr="00556AD5">
        <w:rPr>
          <w:sz w:val="24"/>
          <w:szCs w:val="24"/>
        </w:rPr>
        <w:t xml:space="preserve">The truth of the matter is that determining whether non-criminal unlawfulness amounts to the offence is fraught with difficulty. It is dangerous to assume that simply because no criminal activity is involved, no offence is made out. </w:t>
      </w:r>
      <w:r w:rsidR="00561C85" w:rsidRPr="00556AD5">
        <w:rPr>
          <w:sz w:val="24"/>
          <w:szCs w:val="24"/>
        </w:rPr>
        <w:t xml:space="preserve"> In </w:t>
      </w:r>
      <w:r w:rsidR="00561C85" w:rsidRPr="00556AD5">
        <w:rPr>
          <w:i/>
          <w:sz w:val="24"/>
          <w:szCs w:val="24"/>
        </w:rPr>
        <w:t>Norris v US</w:t>
      </w:r>
      <w:r w:rsidR="00561C85" w:rsidRPr="00556AD5">
        <w:rPr>
          <w:rStyle w:val="FootnoteReference"/>
          <w:i/>
          <w:sz w:val="24"/>
          <w:szCs w:val="24"/>
        </w:rPr>
        <w:footnoteReference w:id="123"/>
      </w:r>
      <w:r w:rsidR="00561C85" w:rsidRPr="00556AD5">
        <w:rPr>
          <w:sz w:val="24"/>
          <w:szCs w:val="24"/>
        </w:rPr>
        <w:t xml:space="preserve"> Lord Bingham stated:</w:t>
      </w:r>
    </w:p>
    <w:p w:rsidR="00561C85" w:rsidRPr="00556AD5" w:rsidRDefault="00561C85" w:rsidP="00561C85">
      <w:pPr>
        <w:pStyle w:val="ListParagraph"/>
        <w:ind w:left="567"/>
      </w:pPr>
    </w:p>
    <w:p w:rsidR="00561C85" w:rsidRPr="00556AD5" w:rsidRDefault="00561C85" w:rsidP="00561C85">
      <w:pPr>
        <w:pStyle w:val="ListParagraph"/>
        <w:ind w:left="851"/>
        <w:rPr>
          <w:rFonts w:cs="Times New Roman"/>
          <w:i/>
        </w:rPr>
      </w:pPr>
      <w:r w:rsidRPr="00556AD5">
        <w:rPr>
          <w:rFonts w:cs="Times New Roman"/>
          <w:i/>
        </w:rPr>
        <w:t xml:space="preserve">The common </w:t>
      </w:r>
      <w:r w:rsidRPr="00556AD5">
        <w:rPr>
          <w:rFonts w:eastAsia="HiddenHorzOCR" w:cs="HiddenHorzOCR"/>
          <w:i/>
        </w:rPr>
        <w:t xml:space="preserve">law </w:t>
      </w:r>
      <w:r w:rsidRPr="00556AD5">
        <w:rPr>
          <w:rFonts w:cs="Times New Roman"/>
          <w:i/>
        </w:rPr>
        <w:t>recognised that an agreement in restraint of trade might be unreasonable in the public interest, and in such cases the agreement would be held to be void and unenforceable. But unless there were aggravating features such as fraud, misrepresentation, violence, intimidation or inducement of a breach of contract, such agreements were not actionable or indictable.</w:t>
      </w:r>
    </w:p>
    <w:p w:rsidR="00561C85" w:rsidRPr="00556AD5" w:rsidRDefault="00561C85" w:rsidP="00561C85">
      <w:pPr>
        <w:pStyle w:val="ListParagraph"/>
        <w:ind w:left="851"/>
        <w:rPr>
          <w:rFonts w:cs="Times New Roman"/>
          <w:i/>
        </w:rPr>
      </w:pPr>
    </w:p>
    <w:p w:rsidR="00561C85" w:rsidRPr="00556AD5" w:rsidRDefault="00561C85" w:rsidP="005C19CA">
      <w:pPr>
        <w:pStyle w:val="ListParagraph"/>
        <w:numPr>
          <w:ilvl w:val="0"/>
          <w:numId w:val="11"/>
        </w:numPr>
        <w:ind w:left="567" w:hanging="567"/>
        <w:rPr>
          <w:i/>
          <w:sz w:val="24"/>
        </w:rPr>
      </w:pPr>
      <w:r w:rsidRPr="00556AD5">
        <w:rPr>
          <w:rFonts w:cs="Times New Roman"/>
          <w:sz w:val="24"/>
        </w:rPr>
        <w:t xml:space="preserve">It would appear therefore that threats of violence, intimidation, or even arguably the inducement of a breach of contract </w:t>
      </w:r>
      <w:r w:rsidR="00A913F4">
        <w:rPr>
          <w:rFonts w:cs="Times New Roman"/>
          <w:sz w:val="24"/>
        </w:rPr>
        <w:t xml:space="preserve">can </w:t>
      </w:r>
      <w:r w:rsidRPr="00556AD5">
        <w:rPr>
          <w:rFonts w:cs="Times New Roman"/>
          <w:sz w:val="24"/>
        </w:rPr>
        <w:t>be sufficient to elevate a lawful but morally repugnant and dishonest agreement, into conspiracy to defraud.</w:t>
      </w:r>
    </w:p>
    <w:p w:rsidR="00561C85" w:rsidRPr="00556AD5" w:rsidRDefault="00561C85" w:rsidP="00561C85">
      <w:pPr>
        <w:pStyle w:val="ListParagraph"/>
        <w:ind w:left="567"/>
        <w:rPr>
          <w:sz w:val="24"/>
          <w:szCs w:val="24"/>
        </w:rPr>
      </w:pPr>
    </w:p>
    <w:p w:rsidR="002672EB" w:rsidRPr="00556AD5" w:rsidRDefault="00561C85" w:rsidP="005C19CA">
      <w:pPr>
        <w:pStyle w:val="ListParagraph"/>
        <w:numPr>
          <w:ilvl w:val="0"/>
          <w:numId w:val="11"/>
        </w:numPr>
        <w:ind w:left="567" w:hanging="567"/>
        <w:rPr>
          <w:sz w:val="24"/>
          <w:szCs w:val="24"/>
        </w:rPr>
      </w:pPr>
      <w:r w:rsidRPr="00556AD5">
        <w:rPr>
          <w:sz w:val="24"/>
          <w:szCs w:val="24"/>
        </w:rPr>
        <w:t>Conversely i</w:t>
      </w:r>
      <w:r w:rsidR="002672EB" w:rsidRPr="00556AD5">
        <w:rPr>
          <w:sz w:val="24"/>
          <w:szCs w:val="24"/>
        </w:rPr>
        <w:t xml:space="preserve">t is equally dangerous to assume that because dishonesty and </w:t>
      </w:r>
      <w:r w:rsidR="000E18BA" w:rsidRPr="00556AD5">
        <w:rPr>
          <w:sz w:val="24"/>
          <w:szCs w:val="24"/>
        </w:rPr>
        <w:t xml:space="preserve">economic prejudice is obvious, conspiracy to defraud can </w:t>
      </w:r>
      <w:r w:rsidRPr="00556AD5">
        <w:rPr>
          <w:sz w:val="24"/>
          <w:szCs w:val="24"/>
        </w:rPr>
        <w:t>be successfully indicted</w:t>
      </w:r>
      <w:r w:rsidR="00A913F4">
        <w:rPr>
          <w:sz w:val="24"/>
          <w:szCs w:val="24"/>
        </w:rPr>
        <w:t>.</w:t>
      </w:r>
    </w:p>
    <w:p w:rsidR="00047FE1" w:rsidRPr="00556AD5" w:rsidRDefault="00047FE1" w:rsidP="00047FE1">
      <w:pPr>
        <w:pStyle w:val="ListParagraph"/>
        <w:rPr>
          <w:sz w:val="24"/>
          <w:szCs w:val="24"/>
        </w:rPr>
      </w:pPr>
    </w:p>
    <w:p w:rsidR="000E18BA" w:rsidRPr="0033181D" w:rsidRDefault="00047FE1" w:rsidP="00A913F4">
      <w:pPr>
        <w:rPr>
          <w:smallCaps/>
          <w:sz w:val="24"/>
          <w:szCs w:val="24"/>
        </w:rPr>
      </w:pPr>
      <w:proofErr w:type="gramStart"/>
      <w:r w:rsidRPr="0033181D">
        <w:rPr>
          <w:b/>
          <w:smallCaps/>
          <w:sz w:val="24"/>
          <w:szCs w:val="24"/>
        </w:rPr>
        <w:t>R</w:t>
      </w:r>
      <w:r w:rsidR="00A913F4" w:rsidRPr="0033181D">
        <w:rPr>
          <w:b/>
          <w:smallCaps/>
          <w:sz w:val="24"/>
          <w:szCs w:val="24"/>
        </w:rPr>
        <w:t>estrictions on Proceeding with Conspiracy to Defraud.</w:t>
      </w:r>
      <w:proofErr w:type="gramEnd"/>
      <w:r w:rsidR="00A913F4" w:rsidRPr="0033181D">
        <w:rPr>
          <w:b/>
          <w:smallCaps/>
          <w:sz w:val="24"/>
          <w:szCs w:val="24"/>
        </w:rPr>
        <w:t xml:space="preserve"> </w:t>
      </w:r>
    </w:p>
    <w:p w:rsidR="00C41925" w:rsidRPr="00556AD5" w:rsidRDefault="00C41925" w:rsidP="000E18BA">
      <w:pPr>
        <w:pStyle w:val="ListParagraph"/>
        <w:ind w:left="567"/>
        <w:rPr>
          <w:sz w:val="24"/>
          <w:szCs w:val="24"/>
        </w:rPr>
      </w:pPr>
    </w:p>
    <w:p w:rsidR="000E18BA" w:rsidRPr="00CA7B38" w:rsidRDefault="000A52CC" w:rsidP="000E18BA">
      <w:pPr>
        <w:pStyle w:val="ListParagraph"/>
        <w:numPr>
          <w:ilvl w:val="0"/>
          <w:numId w:val="6"/>
        </w:numPr>
        <w:rPr>
          <w:b/>
          <w:i/>
          <w:sz w:val="24"/>
          <w:szCs w:val="24"/>
        </w:rPr>
      </w:pPr>
      <w:r w:rsidRPr="00CA7B38">
        <w:rPr>
          <w:b/>
          <w:i/>
          <w:sz w:val="24"/>
          <w:szCs w:val="24"/>
        </w:rPr>
        <w:t xml:space="preserve">Parliamentary Consideration </w:t>
      </w:r>
    </w:p>
    <w:p w:rsidR="000E18BA" w:rsidRPr="00556AD5" w:rsidRDefault="000E18BA" w:rsidP="000E18BA">
      <w:pPr>
        <w:pStyle w:val="ListParagraph"/>
        <w:ind w:left="927"/>
        <w:rPr>
          <w:b/>
          <w:sz w:val="24"/>
          <w:szCs w:val="24"/>
        </w:rPr>
      </w:pPr>
    </w:p>
    <w:p w:rsidR="000E18BA" w:rsidRPr="00556AD5" w:rsidRDefault="000E18BA" w:rsidP="005C19CA">
      <w:pPr>
        <w:pStyle w:val="Extract"/>
        <w:numPr>
          <w:ilvl w:val="0"/>
          <w:numId w:val="11"/>
        </w:numPr>
        <w:ind w:left="567" w:right="357" w:hanging="567"/>
        <w:rPr>
          <w:rFonts w:asciiTheme="minorHAnsi" w:hAnsiTheme="minorHAnsi"/>
          <w:sz w:val="24"/>
        </w:rPr>
      </w:pPr>
      <w:r w:rsidRPr="00556AD5">
        <w:rPr>
          <w:rFonts w:asciiTheme="minorHAnsi" w:hAnsiTheme="minorHAnsi"/>
          <w:sz w:val="24"/>
        </w:rPr>
        <w:t xml:space="preserve">In </w:t>
      </w:r>
      <w:proofErr w:type="spellStart"/>
      <w:r w:rsidRPr="00556AD5">
        <w:rPr>
          <w:rFonts w:asciiTheme="minorHAnsi" w:hAnsiTheme="minorHAnsi"/>
          <w:i/>
          <w:sz w:val="24"/>
        </w:rPr>
        <w:t>Zemmel</w:t>
      </w:r>
      <w:proofErr w:type="spellEnd"/>
      <w:r w:rsidRPr="00556AD5">
        <w:rPr>
          <w:rFonts w:asciiTheme="minorHAnsi" w:hAnsiTheme="minorHAnsi"/>
          <w:sz w:val="24"/>
        </w:rPr>
        <w:t>,</w:t>
      </w:r>
      <w:r w:rsidRPr="00556AD5">
        <w:rPr>
          <w:rStyle w:val="FootnoteReference"/>
          <w:rFonts w:asciiTheme="minorHAnsi" w:hAnsiTheme="minorHAnsi"/>
          <w:sz w:val="24"/>
        </w:rPr>
        <w:footnoteReference w:id="124"/>
      </w:r>
      <w:r w:rsidRPr="00556AD5">
        <w:rPr>
          <w:rFonts w:asciiTheme="minorHAnsi" w:hAnsiTheme="minorHAnsi"/>
          <w:sz w:val="24"/>
        </w:rPr>
        <w:t xml:space="preserve"> the defendants dishonestly induced an American exporter to ship leather on credit and extend the time allowed for payment. $8.5m was owed, and </w:t>
      </w:r>
      <w:r w:rsidRPr="00556AD5">
        <w:rPr>
          <w:rFonts w:asciiTheme="minorHAnsi" w:hAnsiTheme="minorHAnsi"/>
          <w:sz w:val="24"/>
        </w:rPr>
        <w:lastRenderedPageBreak/>
        <w:t>there was fraudulent trading. However, they did not intend never to pay, but merely to pay late – they were dishonestly playing for time. Logically such an agreement amounted to a conspiracy to defraud, and had been recognized as such by the Law Commission.</w:t>
      </w:r>
      <w:r w:rsidRPr="00556AD5">
        <w:rPr>
          <w:rStyle w:val="FootnoteReference"/>
          <w:rFonts w:asciiTheme="minorHAnsi" w:hAnsiTheme="minorHAnsi"/>
          <w:sz w:val="24"/>
        </w:rPr>
        <w:footnoteReference w:id="125"/>
      </w:r>
      <w:r w:rsidRPr="00556AD5">
        <w:rPr>
          <w:rFonts w:asciiTheme="minorHAnsi" w:hAnsiTheme="minorHAnsi"/>
          <w:sz w:val="24"/>
        </w:rPr>
        <w:t xml:space="preserve"> Such conduct </w:t>
      </w:r>
      <w:r w:rsidR="00101148" w:rsidRPr="00556AD5">
        <w:rPr>
          <w:rFonts w:asciiTheme="minorHAnsi" w:hAnsiTheme="minorHAnsi"/>
          <w:sz w:val="24"/>
        </w:rPr>
        <w:t xml:space="preserve">had been made </w:t>
      </w:r>
      <w:r w:rsidRPr="00556AD5">
        <w:rPr>
          <w:rFonts w:asciiTheme="minorHAnsi" w:hAnsiTheme="minorHAnsi"/>
          <w:sz w:val="24"/>
        </w:rPr>
        <w:t xml:space="preserve">a criminal offence under </w:t>
      </w:r>
      <w:r w:rsidRPr="00556AD5">
        <w:rPr>
          <w:rFonts w:asciiTheme="minorHAnsi" w:hAnsiTheme="minorHAnsi"/>
          <w:i/>
          <w:sz w:val="24"/>
        </w:rPr>
        <w:t>Theft Act</w:t>
      </w:r>
      <w:r w:rsidRPr="00556AD5">
        <w:rPr>
          <w:rFonts w:asciiTheme="minorHAnsi" w:hAnsiTheme="minorHAnsi"/>
          <w:sz w:val="24"/>
        </w:rPr>
        <w:t xml:space="preserve"> 1968, </w:t>
      </w:r>
      <w:proofErr w:type="gramStart"/>
      <w:r w:rsidRPr="00556AD5">
        <w:rPr>
          <w:rFonts w:asciiTheme="minorHAnsi" w:hAnsiTheme="minorHAnsi"/>
          <w:sz w:val="24"/>
        </w:rPr>
        <w:t>s16(</w:t>
      </w:r>
      <w:proofErr w:type="gramEnd"/>
      <w:r w:rsidRPr="00556AD5">
        <w:rPr>
          <w:rFonts w:asciiTheme="minorHAnsi" w:hAnsiTheme="minorHAnsi"/>
          <w:sz w:val="24"/>
        </w:rPr>
        <w:t xml:space="preserve">2) (obtaining a pecuniary advantage by deception). However, the ambit of that section had been severely criticized as it potentially criminalized commonplace, albeit dishonest, </w:t>
      </w:r>
      <w:proofErr w:type="spellStart"/>
      <w:r w:rsidRPr="00556AD5">
        <w:rPr>
          <w:rFonts w:asciiTheme="minorHAnsi" w:hAnsiTheme="minorHAnsi"/>
          <w:sz w:val="24"/>
        </w:rPr>
        <w:t>behaviour</w:t>
      </w:r>
      <w:proofErr w:type="spellEnd"/>
      <w:r w:rsidRPr="00556AD5">
        <w:rPr>
          <w:rFonts w:asciiTheme="minorHAnsi" w:hAnsiTheme="minorHAnsi"/>
          <w:sz w:val="24"/>
        </w:rPr>
        <w:t xml:space="preserve"> (</w:t>
      </w:r>
      <w:r w:rsidR="008A4412" w:rsidRPr="00556AD5">
        <w:rPr>
          <w:rFonts w:asciiTheme="minorHAnsi" w:hAnsiTheme="minorHAnsi"/>
          <w:sz w:val="24"/>
        </w:rPr>
        <w:t>e.g.</w:t>
      </w:r>
      <w:r w:rsidRPr="00556AD5">
        <w:rPr>
          <w:rFonts w:asciiTheme="minorHAnsi" w:hAnsiTheme="minorHAnsi"/>
          <w:sz w:val="24"/>
        </w:rPr>
        <w:t xml:space="preserve"> ‘the </w:t>
      </w:r>
      <w:proofErr w:type="spellStart"/>
      <w:r w:rsidRPr="00556AD5">
        <w:rPr>
          <w:rFonts w:asciiTheme="minorHAnsi" w:hAnsiTheme="minorHAnsi"/>
          <w:sz w:val="24"/>
        </w:rPr>
        <w:t>cheque</w:t>
      </w:r>
      <w:proofErr w:type="spellEnd"/>
      <w:r w:rsidRPr="00556AD5">
        <w:rPr>
          <w:rFonts w:asciiTheme="minorHAnsi" w:hAnsiTheme="minorHAnsi"/>
          <w:sz w:val="24"/>
        </w:rPr>
        <w:t xml:space="preserve"> is in the post’). Accordingly, the law was amended so that the offence would only apply where there was an intention to make permanent default: </w:t>
      </w:r>
      <w:r w:rsidRPr="00556AD5">
        <w:rPr>
          <w:rFonts w:asciiTheme="minorHAnsi" w:hAnsiTheme="minorHAnsi"/>
          <w:i/>
          <w:sz w:val="24"/>
        </w:rPr>
        <w:t>Theft Act</w:t>
      </w:r>
      <w:r w:rsidRPr="00556AD5">
        <w:rPr>
          <w:rFonts w:asciiTheme="minorHAnsi" w:hAnsiTheme="minorHAnsi"/>
          <w:sz w:val="24"/>
        </w:rPr>
        <w:t xml:space="preserve"> 1978, </w:t>
      </w:r>
      <w:proofErr w:type="gramStart"/>
      <w:r w:rsidRPr="00556AD5">
        <w:rPr>
          <w:rFonts w:asciiTheme="minorHAnsi" w:hAnsiTheme="minorHAnsi"/>
          <w:sz w:val="24"/>
        </w:rPr>
        <w:t>s2(</w:t>
      </w:r>
      <w:proofErr w:type="gramEnd"/>
      <w:r w:rsidRPr="00556AD5">
        <w:rPr>
          <w:rFonts w:asciiTheme="minorHAnsi" w:hAnsiTheme="minorHAnsi"/>
          <w:sz w:val="24"/>
        </w:rPr>
        <w:t>1)(b).</w:t>
      </w:r>
      <w:r w:rsidRPr="00556AD5">
        <w:rPr>
          <w:rStyle w:val="FootnoteReference"/>
          <w:rFonts w:asciiTheme="minorHAnsi" w:hAnsiTheme="minorHAnsi"/>
          <w:sz w:val="24"/>
        </w:rPr>
        <w:footnoteReference w:id="126"/>
      </w:r>
    </w:p>
    <w:p w:rsidR="000E18BA" w:rsidRPr="00556AD5" w:rsidRDefault="000E18BA" w:rsidP="000E18BA">
      <w:pPr>
        <w:pStyle w:val="Extract"/>
        <w:ind w:left="1440"/>
        <w:rPr>
          <w:rFonts w:asciiTheme="minorHAnsi" w:hAnsiTheme="minorHAnsi"/>
          <w:sz w:val="24"/>
        </w:rPr>
      </w:pPr>
    </w:p>
    <w:p w:rsidR="000E18BA" w:rsidRPr="00556AD5" w:rsidRDefault="000E18BA" w:rsidP="005C19CA">
      <w:pPr>
        <w:pStyle w:val="Para"/>
        <w:numPr>
          <w:ilvl w:val="0"/>
          <w:numId w:val="11"/>
        </w:numPr>
        <w:tabs>
          <w:tab w:val="clear" w:pos="360"/>
          <w:tab w:val="left" w:pos="567"/>
        </w:tabs>
        <w:ind w:left="567" w:hanging="567"/>
        <w:rPr>
          <w:rFonts w:asciiTheme="minorHAnsi" w:hAnsiTheme="minorHAnsi"/>
          <w:sz w:val="24"/>
        </w:rPr>
      </w:pPr>
      <w:r w:rsidRPr="00556AD5">
        <w:rPr>
          <w:rFonts w:asciiTheme="minorHAnsi" w:hAnsiTheme="minorHAnsi"/>
          <w:sz w:val="24"/>
        </w:rPr>
        <w:t>The</w:t>
      </w:r>
      <w:r w:rsidRPr="00556AD5">
        <w:rPr>
          <w:rFonts w:asciiTheme="minorHAnsi" w:hAnsiTheme="minorHAnsi"/>
          <w:b/>
          <w:sz w:val="24"/>
        </w:rPr>
        <w:t xml:space="preserve"> </w:t>
      </w:r>
      <w:r w:rsidRPr="00556AD5">
        <w:rPr>
          <w:rFonts w:asciiTheme="minorHAnsi" w:hAnsiTheme="minorHAnsi"/>
          <w:sz w:val="24"/>
        </w:rPr>
        <w:t>Court of Appeal observed that Crown’s position was effectively that:</w:t>
      </w:r>
      <w:r w:rsidRPr="00556AD5">
        <w:rPr>
          <w:rStyle w:val="FootnoteReference"/>
          <w:rFonts w:asciiTheme="minorHAnsi" w:hAnsiTheme="minorHAnsi"/>
          <w:sz w:val="24"/>
        </w:rPr>
        <w:footnoteReference w:id="127"/>
      </w:r>
    </w:p>
    <w:p w:rsidR="000E18BA" w:rsidRPr="00556AD5" w:rsidRDefault="000E18BA" w:rsidP="000E18BA">
      <w:pPr>
        <w:pStyle w:val="Para"/>
        <w:tabs>
          <w:tab w:val="clear" w:pos="360"/>
          <w:tab w:val="left" w:pos="567"/>
        </w:tabs>
        <w:ind w:left="1134" w:hanging="567"/>
        <w:rPr>
          <w:rFonts w:asciiTheme="minorHAnsi" w:hAnsiTheme="minorHAnsi"/>
          <w:sz w:val="24"/>
        </w:rPr>
      </w:pPr>
    </w:p>
    <w:p w:rsidR="000E18BA" w:rsidRPr="00556AD5" w:rsidRDefault="000E18BA" w:rsidP="000E18BA">
      <w:pPr>
        <w:pStyle w:val="Extract"/>
        <w:rPr>
          <w:rFonts w:asciiTheme="minorHAnsi" w:hAnsiTheme="minorHAnsi"/>
          <w:sz w:val="22"/>
        </w:rPr>
      </w:pPr>
      <w:proofErr w:type="gramStart"/>
      <w:r w:rsidRPr="00556AD5">
        <w:rPr>
          <w:rFonts w:asciiTheme="minorHAnsi" w:hAnsiTheme="minorHAnsi"/>
          <w:i/>
          <w:sz w:val="22"/>
        </w:rPr>
        <w:t>by</w:t>
      </w:r>
      <w:proofErr w:type="gramEnd"/>
      <w:r w:rsidRPr="00556AD5">
        <w:rPr>
          <w:rFonts w:asciiTheme="minorHAnsi" w:hAnsiTheme="minorHAnsi"/>
          <w:i/>
          <w:sz w:val="22"/>
        </w:rPr>
        <w:t xml:space="preserve"> a side wind the common law has suddenly re-emerged to reinstate or create as a crime that which Parliament thought it right to take off the statute book as a crime. We cannot accept that</w:t>
      </w:r>
      <w:r w:rsidRPr="00556AD5">
        <w:rPr>
          <w:rFonts w:asciiTheme="minorHAnsi" w:hAnsiTheme="minorHAnsi"/>
          <w:sz w:val="22"/>
        </w:rPr>
        <w:t>.</w:t>
      </w:r>
      <w:r w:rsidR="00101148" w:rsidRPr="00556AD5">
        <w:rPr>
          <w:rStyle w:val="FootnoteReference"/>
          <w:rFonts w:asciiTheme="minorHAnsi" w:hAnsiTheme="minorHAnsi"/>
          <w:sz w:val="22"/>
        </w:rPr>
        <w:footnoteReference w:id="128"/>
      </w:r>
    </w:p>
    <w:p w:rsidR="000E18BA" w:rsidRPr="00556AD5" w:rsidRDefault="000E18BA" w:rsidP="000E18BA">
      <w:pPr>
        <w:pStyle w:val="Extract"/>
        <w:rPr>
          <w:rFonts w:asciiTheme="minorHAnsi" w:hAnsiTheme="minorHAnsi"/>
          <w:sz w:val="24"/>
        </w:rPr>
      </w:pPr>
    </w:p>
    <w:p w:rsidR="000A52CC" w:rsidRDefault="000E18BA" w:rsidP="000A52CC">
      <w:pPr>
        <w:pStyle w:val="Para"/>
        <w:numPr>
          <w:ilvl w:val="0"/>
          <w:numId w:val="11"/>
        </w:numPr>
        <w:tabs>
          <w:tab w:val="clear" w:pos="360"/>
          <w:tab w:val="left" w:pos="567"/>
        </w:tabs>
        <w:ind w:left="567" w:hanging="567"/>
        <w:rPr>
          <w:b/>
          <w:sz w:val="24"/>
        </w:rPr>
      </w:pPr>
      <w:r w:rsidRPr="0033181D">
        <w:rPr>
          <w:rFonts w:asciiTheme="minorHAnsi" w:hAnsiTheme="minorHAnsi"/>
          <w:sz w:val="24"/>
        </w:rPr>
        <w:t>The Law Commission’s observed in its report on fraud that the court’s reasoning may apply more broadly, although it would probably need to be clear that parliament had consciously decided that the conduct in question should not be criminal, rather than merely failing to make provision for it.</w:t>
      </w:r>
      <w:r w:rsidRPr="00556AD5">
        <w:rPr>
          <w:rStyle w:val="FootnoteReference"/>
          <w:rFonts w:asciiTheme="minorHAnsi" w:hAnsiTheme="minorHAnsi"/>
          <w:sz w:val="24"/>
        </w:rPr>
        <w:footnoteReference w:id="129"/>
      </w:r>
      <w:r w:rsidR="0033181D" w:rsidRPr="0033181D">
        <w:rPr>
          <w:rFonts w:asciiTheme="minorHAnsi" w:hAnsiTheme="minorHAnsi"/>
          <w:sz w:val="24"/>
        </w:rPr>
        <w:t xml:space="preserve">  However, where parliament has specifically considered and rejected the criminalization of a particular activity, there must be a strong argument </w:t>
      </w:r>
      <w:r w:rsidR="0033181D">
        <w:rPr>
          <w:rFonts w:asciiTheme="minorHAnsi" w:hAnsiTheme="minorHAnsi"/>
          <w:sz w:val="24"/>
        </w:rPr>
        <w:t xml:space="preserve">that the Courts should not seek to interfere. </w:t>
      </w:r>
    </w:p>
    <w:p w:rsidR="000A52CC" w:rsidRDefault="000A52CC" w:rsidP="000A52CC">
      <w:pPr>
        <w:pStyle w:val="Para"/>
        <w:tabs>
          <w:tab w:val="clear" w:pos="360"/>
          <w:tab w:val="left" w:pos="567"/>
        </w:tabs>
        <w:ind w:left="567" w:firstLine="0"/>
        <w:rPr>
          <w:b/>
          <w:sz w:val="24"/>
        </w:rPr>
      </w:pPr>
    </w:p>
    <w:p w:rsidR="000A52CC" w:rsidRDefault="000A52CC" w:rsidP="000A52CC">
      <w:pPr>
        <w:pStyle w:val="Para"/>
        <w:numPr>
          <w:ilvl w:val="0"/>
          <w:numId w:val="11"/>
        </w:numPr>
        <w:tabs>
          <w:tab w:val="clear" w:pos="360"/>
          <w:tab w:val="left" w:pos="567"/>
        </w:tabs>
        <w:ind w:left="567" w:hanging="567"/>
        <w:rPr>
          <w:rFonts w:ascii="Calibri" w:hAnsi="Calibri"/>
          <w:b/>
          <w:sz w:val="32"/>
        </w:rPr>
      </w:pPr>
      <w:r w:rsidRPr="000A52CC">
        <w:rPr>
          <w:rFonts w:ascii="Calibri" w:hAnsi="Calibri"/>
          <w:sz w:val="24"/>
        </w:rPr>
        <w:t xml:space="preserve">A similar judicial approach </w:t>
      </w:r>
      <w:r>
        <w:rPr>
          <w:rFonts w:ascii="Calibri" w:hAnsi="Calibri"/>
          <w:sz w:val="24"/>
        </w:rPr>
        <w:t xml:space="preserve">can be found </w:t>
      </w:r>
      <w:r w:rsidRPr="000A52CC">
        <w:rPr>
          <w:rFonts w:ascii="Calibri" w:hAnsi="Calibri"/>
          <w:sz w:val="24"/>
        </w:rPr>
        <w:t xml:space="preserve">in </w:t>
      </w:r>
      <w:r w:rsidRPr="000A52CC">
        <w:rPr>
          <w:rFonts w:ascii="Calibri" w:hAnsi="Calibri"/>
          <w:i/>
          <w:sz w:val="24"/>
        </w:rPr>
        <w:t>Tsang Ping-</w:t>
      </w:r>
      <w:proofErr w:type="spellStart"/>
      <w:r w:rsidRPr="000A52CC">
        <w:rPr>
          <w:rFonts w:ascii="Calibri" w:hAnsi="Calibri"/>
          <w:i/>
          <w:sz w:val="24"/>
        </w:rPr>
        <w:t>nam</w:t>
      </w:r>
      <w:proofErr w:type="spellEnd"/>
      <w:r w:rsidRPr="000A52CC">
        <w:rPr>
          <w:rFonts w:ascii="Calibri" w:hAnsi="Calibri"/>
          <w:i/>
          <w:sz w:val="24"/>
        </w:rPr>
        <w:t xml:space="preserve"> v The Queen</w:t>
      </w:r>
      <w:r w:rsidRPr="000A52CC">
        <w:rPr>
          <w:rFonts w:ascii="Calibri" w:hAnsi="Calibri"/>
          <w:sz w:val="24"/>
        </w:rPr>
        <w:t>.</w:t>
      </w:r>
      <w:r w:rsidRPr="000A52CC">
        <w:rPr>
          <w:rStyle w:val="FootnoteReference"/>
          <w:rFonts w:ascii="Calibri" w:eastAsia="Cambria" w:hAnsi="Calibri"/>
          <w:sz w:val="24"/>
        </w:rPr>
        <w:footnoteReference w:id="130"/>
      </w:r>
      <w:r w:rsidRPr="000A52CC">
        <w:rPr>
          <w:rFonts w:ascii="Calibri" w:hAnsi="Calibri"/>
          <w:sz w:val="24"/>
        </w:rPr>
        <w:t xml:space="preserve"> </w:t>
      </w:r>
      <w:r>
        <w:rPr>
          <w:rFonts w:ascii="Calibri" w:hAnsi="Calibri"/>
          <w:sz w:val="24"/>
        </w:rPr>
        <w:t>T</w:t>
      </w:r>
      <w:r w:rsidRPr="000A52CC">
        <w:rPr>
          <w:rFonts w:ascii="Calibri" w:hAnsi="Calibri"/>
          <w:sz w:val="24"/>
        </w:rPr>
        <w:t>he defendant</w:t>
      </w:r>
      <w:r>
        <w:rPr>
          <w:rFonts w:ascii="Calibri" w:hAnsi="Calibri"/>
          <w:sz w:val="24"/>
        </w:rPr>
        <w:t xml:space="preserve"> </w:t>
      </w:r>
      <w:r w:rsidRPr="000A52CC">
        <w:rPr>
          <w:rFonts w:ascii="Calibri" w:hAnsi="Calibri"/>
          <w:sz w:val="24"/>
        </w:rPr>
        <w:t xml:space="preserve">had made statements implicating officers in police corruption in exchange for immunity from prosecution. At the trial, he </w:t>
      </w:r>
      <w:r>
        <w:rPr>
          <w:rFonts w:ascii="Calibri" w:hAnsi="Calibri"/>
          <w:sz w:val="24"/>
        </w:rPr>
        <w:t>reneged</w:t>
      </w:r>
      <w:r w:rsidRPr="000A52CC">
        <w:rPr>
          <w:rFonts w:ascii="Calibri" w:hAnsi="Calibri"/>
          <w:sz w:val="24"/>
        </w:rPr>
        <w:t xml:space="preserve"> from his statement and said that he had made it in order to obtain the immunity. He was charged with attempting to pervert the course of public justice on the basis that he had either made false statements or committed perjury. The Crown conceded that it could not prove which of the two statements was false, but that it was clear that the defendant had attempted to pervert the course of justice on one or other occasion.</w:t>
      </w:r>
    </w:p>
    <w:p w:rsidR="000A52CC" w:rsidRDefault="000A52CC" w:rsidP="000A52CC">
      <w:pPr>
        <w:pStyle w:val="ListParagraph"/>
      </w:pPr>
    </w:p>
    <w:p w:rsidR="000A52CC" w:rsidRDefault="000A52CC" w:rsidP="000A52CC">
      <w:pPr>
        <w:pStyle w:val="Para"/>
        <w:numPr>
          <w:ilvl w:val="0"/>
          <w:numId w:val="11"/>
        </w:numPr>
        <w:tabs>
          <w:tab w:val="clear" w:pos="360"/>
          <w:tab w:val="left" w:pos="567"/>
        </w:tabs>
        <w:ind w:left="567" w:hanging="567"/>
        <w:rPr>
          <w:rFonts w:ascii="Calibri" w:hAnsi="Calibri"/>
          <w:sz w:val="24"/>
        </w:rPr>
      </w:pPr>
      <w:r w:rsidRPr="000A52CC">
        <w:rPr>
          <w:rFonts w:ascii="Calibri" w:hAnsi="Calibri"/>
          <w:sz w:val="24"/>
        </w:rPr>
        <w:t xml:space="preserve">The Privy Council noted the submissions made on behalf of the appellant by his counsel (later </w:t>
      </w:r>
      <w:proofErr w:type="spellStart"/>
      <w:r w:rsidRPr="000A52CC">
        <w:rPr>
          <w:rFonts w:ascii="Calibri" w:hAnsi="Calibri"/>
          <w:sz w:val="24"/>
        </w:rPr>
        <w:t>Ognall</w:t>
      </w:r>
      <w:proofErr w:type="spellEnd"/>
      <w:r w:rsidRPr="000A52CC">
        <w:rPr>
          <w:rFonts w:ascii="Calibri" w:hAnsi="Calibri"/>
          <w:sz w:val="24"/>
        </w:rPr>
        <w:t xml:space="preserve"> LJ):</w:t>
      </w:r>
    </w:p>
    <w:p w:rsidR="000A52CC" w:rsidRPr="000A52CC" w:rsidRDefault="000A52CC" w:rsidP="000A52CC">
      <w:pPr>
        <w:pStyle w:val="Extract"/>
        <w:rPr>
          <w:rFonts w:ascii="Calibri" w:hAnsi="Calibri" w:cs="Times New Roman"/>
          <w:i/>
          <w:sz w:val="22"/>
        </w:rPr>
      </w:pPr>
      <w:proofErr w:type="gramStart"/>
      <w:r w:rsidRPr="000A52CC">
        <w:rPr>
          <w:rFonts w:ascii="Calibri" w:hAnsi="Calibri" w:cs="Times New Roman"/>
          <w:i/>
          <w:sz w:val="22"/>
        </w:rPr>
        <w:t>that</w:t>
      </w:r>
      <w:proofErr w:type="gramEnd"/>
      <w:r w:rsidRPr="000A52CC">
        <w:rPr>
          <w:rFonts w:ascii="Calibri" w:hAnsi="Calibri" w:cs="Times New Roman"/>
          <w:i/>
          <w:sz w:val="22"/>
        </w:rPr>
        <w:t xml:space="preserve"> an accused person could not be convicted on the basis that one of two mutually inconsistent allegations must be true. Moreover, once the concession was made that perjury could not be proved, as it was, the Crown could not be allowed to c</w:t>
      </w:r>
      <w:r>
        <w:rPr>
          <w:rFonts w:ascii="Calibri" w:hAnsi="Calibri" w:cs="Times New Roman"/>
          <w:i/>
          <w:sz w:val="22"/>
        </w:rPr>
        <w:t xml:space="preserve">ircumvent the crucial safeguard </w:t>
      </w:r>
      <w:r w:rsidRPr="000A52CC">
        <w:rPr>
          <w:rFonts w:ascii="Calibri" w:hAnsi="Calibri" w:cs="Times New Roman"/>
          <w:i/>
          <w:sz w:val="22"/>
        </w:rPr>
        <w:t xml:space="preserve">to an accused charged with perjury that he must not be convicted solely upon the evidence of one witness as to the falsity of any statement </w:t>
      </w:r>
      <w:r w:rsidRPr="000A52CC">
        <w:rPr>
          <w:rFonts w:ascii="Calibri" w:hAnsi="Calibri" w:cs="Times New Roman"/>
          <w:i/>
          <w:sz w:val="22"/>
        </w:rPr>
        <w:lastRenderedPageBreak/>
        <w:t>alleged to be false, by charging, not perjury, but an attempt to pervert the course of justice.</w:t>
      </w:r>
    </w:p>
    <w:p w:rsidR="000A52CC" w:rsidRPr="000A52CC" w:rsidRDefault="000A52CC" w:rsidP="000A52CC">
      <w:pPr>
        <w:pStyle w:val="Npara"/>
        <w:rPr>
          <w:rFonts w:ascii="Calibri" w:hAnsi="Calibri"/>
          <w:sz w:val="24"/>
          <w:szCs w:val="24"/>
        </w:rPr>
      </w:pPr>
      <w:r w:rsidRPr="000A52CC">
        <w:rPr>
          <w:rFonts w:ascii="Calibri" w:hAnsi="Calibri"/>
          <w:sz w:val="24"/>
          <w:szCs w:val="24"/>
        </w:rPr>
        <w:t>The court concluded:</w:t>
      </w:r>
    </w:p>
    <w:p w:rsidR="000A52CC" w:rsidRPr="00CA7B38" w:rsidRDefault="000A52CC" w:rsidP="000A52CC">
      <w:pPr>
        <w:pStyle w:val="Extract"/>
        <w:rPr>
          <w:sz w:val="22"/>
        </w:rPr>
      </w:pPr>
      <w:proofErr w:type="gramStart"/>
      <w:r w:rsidRPr="000A52CC">
        <w:rPr>
          <w:i/>
          <w:sz w:val="22"/>
        </w:rPr>
        <w:t>however</w:t>
      </w:r>
      <w:proofErr w:type="gramEnd"/>
      <w:r w:rsidRPr="000A52CC">
        <w:rPr>
          <w:i/>
          <w:sz w:val="22"/>
        </w:rPr>
        <w:t xml:space="preserve"> distasteful it may be to allow a self-confessed corrupt police officer to escape convictions for his gravely corrupt activities, it was wholly illegitimate for the Crown to seek to overcome their difficulties of proof by charging attempts to pervert the course of justice upon this alternative basis.</w:t>
      </w:r>
      <w:r w:rsidR="00CA7B38" w:rsidRPr="00CA7B38">
        <w:rPr>
          <w:rStyle w:val="FootnoteReference"/>
          <w:rFonts w:eastAsia="Cambria"/>
        </w:rPr>
        <w:t xml:space="preserve"> </w:t>
      </w:r>
      <w:r w:rsidR="00CA7B38" w:rsidRPr="00437821">
        <w:rPr>
          <w:rStyle w:val="FootnoteReference"/>
          <w:rFonts w:eastAsia="Cambria"/>
        </w:rPr>
        <w:footnoteReference w:id="131"/>
      </w:r>
    </w:p>
    <w:p w:rsidR="000A52CC" w:rsidRPr="000A52CC" w:rsidRDefault="000A52CC" w:rsidP="000A52CC">
      <w:pPr>
        <w:pStyle w:val="Extract"/>
        <w:rPr>
          <w:i/>
          <w:sz w:val="22"/>
        </w:rPr>
      </w:pPr>
    </w:p>
    <w:p w:rsidR="00101148" w:rsidRPr="00556AD5" w:rsidRDefault="00101148" w:rsidP="00101148">
      <w:pPr>
        <w:pStyle w:val="Para"/>
        <w:tabs>
          <w:tab w:val="clear" w:pos="360"/>
          <w:tab w:val="left" w:pos="567"/>
        </w:tabs>
        <w:ind w:left="567" w:firstLine="0"/>
        <w:rPr>
          <w:rFonts w:asciiTheme="minorHAnsi" w:hAnsiTheme="minorHAnsi"/>
          <w:sz w:val="24"/>
        </w:rPr>
      </w:pPr>
    </w:p>
    <w:p w:rsidR="000E18BA" w:rsidRPr="00556AD5" w:rsidRDefault="00CA7B38" w:rsidP="005C19CA">
      <w:pPr>
        <w:pStyle w:val="Para"/>
        <w:numPr>
          <w:ilvl w:val="0"/>
          <w:numId w:val="11"/>
        </w:numPr>
        <w:tabs>
          <w:tab w:val="clear" w:pos="360"/>
          <w:tab w:val="left" w:pos="567"/>
        </w:tabs>
        <w:ind w:left="567" w:hanging="567"/>
        <w:rPr>
          <w:rFonts w:asciiTheme="minorHAnsi" w:hAnsiTheme="minorHAnsi"/>
          <w:sz w:val="24"/>
        </w:rPr>
      </w:pPr>
      <w:r>
        <w:rPr>
          <w:rFonts w:asciiTheme="minorHAnsi" w:hAnsiTheme="minorHAnsi"/>
          <w:sz w:val="24"/>
        </w:rPr>
        <w:t>Similarly in</w:t>
      </w:r>
      <w:r w:rsidR="000E18BA" w:rsidRPr="00556AD5">
        <w:rPr>
          <w:rFonts w:asciiTheme="minorHAnsi" w:hAnsiTheme="minorHAnsi"/>
          <w:sz w:val="24"/>
        </w:rPr>
        <w:t xml:space="preserve"> </w:t>
      </w:r>
      <w:proofErr w:type="spellStart"/>
      <w:r w:rsidR="000E18BA" w:rsidRPr="00556AD5">
        <w:rPr>
          <w:rFonts w:asciiTheme="minorHAnsi" w:hAnsiTheme="minorHAnsi"/>
          <w:i/>
          <w:sz w:val="24"/>
        </w:rPr>
        <w:t>Dady</w:t>
      </w:r>
      <w:proofErr w:type="spellEnd"/>
      <w:r w:rsidR="000E18BA" w:rsidRPr="00556AD5">
        <w:rPr>
          <w:rStyle w:val="FootnoteReference"/>
          <w:rFonts w:asciiTheme="minorHAnsi" w:hAnsiTheme="minorHAnsi"/>
          <w:i/>
          <w:sz w:val="24"/>
        </w:rPr>
        <w:footnoteReference w:id="132"/>
      </w:r>
      <w:r w:rsidR="000E18BA" w:rsidRPr="00556AD5">
        <w:rPr>
          <w:rFonts w:asciiTheme="minorHAnsi" w:hAnsiTheme="minorHAnsi"/>
          <w:i/>
          <w:sz w:val="24"/>
        </w:rPr>
        <w:t xml:space="preserve"> </w:t>
      </w:r>
      <w:r w:rsidR="000E18BA" w:rsidRPr="00556AD5">
        <w:rPr>
          <w:rFonts w:asciiTheme="minorHAnsi" w:hAnsiTheme="minorHAnsi"/>
          <w:sz w:val="24"/>
        </w:rPr>
        <w:t xml:space="preserve">the trial judge had rejected a charge of conspiracy to defraud because of statutory provisions which, on one view at any rate, covered the alleged criminal activity of unlicensed streaming of football matches which deprived the broadcaster of license fees.  On an application for a voluntary bill, Coulson J rejected the Crown’s argument that the streaming was contrary to s297 of the </w:t>
      </w:r>
      <w:r w:rsidR="000E18BA" w:rsidRPr="00556AD5">
        <w:rPr>
          <w:rFonts w:asciiTheme="minorHAnsi" w:hAnsiTheme="minorHAnsi"/>
          <w:i/>
          <w:sz w:val="24"/>
        </w:rPr>
        <w:t>Copyright, Designs and Patents Act</w:t>
      </w:r>
      <w:r w:rsidR="000E18BA" w:rsidRPr="00556AD5">
        <w:rPr>
          <w:rFonts w:asciiTheme="minorHAnsi" w:hAnsiTheme="minorHAnsi"/>
          <w:sz w:val="24"/>
        </w:rPr>
        <w:t xml:space="preserve"> 1988, observing that that was a summary offence which (</w:t>
      </w:r>
      <w:proofErr w:type="spellStart"/>
      <w:r w:rsidR="000E18BA" w:rsidRPr="00556AD5">
        <w:rPr>
          <w:rFonts w:asciiTheme="minorHAnsi" w:hAnsiTheme="minorHAnsi"/>
          <w:sz w:val="24"/>
        </w:rPr>
        <w:t>i</w:t>
      </w:r>
      <w:proofErr w:type="spellEnd"/>
      <w:r w:rsidR="000E18BA" w:rsidRPr="00556AD5">
        <w:rPr>
          <w:rFonts w:asciiTheme="minorHAnsi" w:hAnsiTheme="minorHAnsi"/>
          <w:sz w:val="24"/>
        </w:rPr>
        <w:t>) required the consent of the DPP and (ii) had to be commenced within six months of the commission of the offence.</w:t>
      </w:r>
      <w:r w:rsidR="000E18BA" w:rsidRPr="00556AD5">
        <w:rPr>
          <w:rFonts w:asciiTheme="minorHAnsi" w:hAnsiTheme="minorHAnsi"/>
          <w:sz w:val="24"/>
          <w:vertAlign w:val="superscript"/>
        </w:rPr>
        <w:footnoteReference w:id="133"/>
      </w:r>
      <w:r w:rsidR="000E18BA" w:rsidRPr="00556AD5">
        <w:rPr>
          <w:rFonts w:asciiTheme="minorHAnsi" w:hAnsiTheme="minorHAnsi"/>
          <w:sz w:val="24"/>
        </w:rPr>
        <w:t xml:space="preserve"> It would be wrong to allow the common law to be used to ignore safe</w:t>
      </w:r>
      <w:r w:rsidR="00321BE0" w:rsidRPr="00556AD5">
        <w:rPr>
          <w:rFonts w:asciiTheme="minorHAnsi" w:hAnsiTheme="minorHAnsi"/>
          <w:sz w:val="24"/>
        </w:rPr>
        <w:t>guards introduced by Parliament,</w:t>
      </w:r>
      <w:r w:rsidR="000E18BA" w:rsidRPr="00556AD5">
        <w:rPr>
          <w:rStyle w:val="FootnoteReference"/>
          <w:rFonts w:asciiTheme="minorHAnsi" w:hAnsiTheme="minorHAnsi"/>
          <w:sz w:val="24"/>
        </w:rPr>
        <w:footnoteReference w:id="134"/>
      </w:r>
      <w:r w:rsidR="000E18BA" w:rsidRPr="00556AD5">
        <w:rPr>
          <w:rFonts w:asciiTheme="minorHAnsi" w:hAnsiTheme="minorHAnsi"/>
          <w:sz w:val="24"/>
        </w:rPr>
        <w:t xml:space="preserve"> </w:t>
      </w:r>
      <w:r w:rsidR="00321BE0" w:rsidRPr="00556AD5">
        <w:rPr>
          <w:rFonts w:asciiTheme="minorHAnsi" w:hAnsiTheme="minorHAnsi"/>
          <w:sz w:val="24"/>
        </w:rPr>
        <w:t xml:space="preserve"> as expressed by Lord Bingham in</w:t>
      </w:r>
      <w:r w:rsidR="00321BE0" w:rsidRPr="00556AD5">
        <w:rPr>
          <w:rFonts w:asciiTheme="minorHAnsi" w:hAnsiTheme="minorHAnsi"/>
          <w:b/>
          <w:sz w:val="24"/>
        </w:rPr>
        <w:t xml:space="preserve"> </w:t>
      </w:r>
      <w:proofErr w:type="spellStart"/>
      <w:r w:rsidR="00321BE0" w:rsidRPr="00556AD5">
        <w:rPr>
          <w:rFonts w:asciiTheme="minorHAnsi" w:hAnsiTheme="minorHAnsi"/>
          <w:i/>
          <w:sz w:val="24"/>
        </w:rPr>
        <w:t>Rimmington</w:t>
      </w:r>
      <w:proofErr w:type="spellEnd"/>
      <w:r w:rsidR="00321BE0" w:rsidRPr="00556AD5">
        <w:rPr>
          <w:rFonts w:asciiTheme="minorHAnsi" w:hAnsiTheme="minorHAnsi"/>
          <w:sz w:val="24"/>
        </w:rPr>
        <w:t>:</w:t>
      </w:r>
      <w:r w:rsidR="00321BE0" w:rsidRPr="00556AD5">
        <w:rPr>
          <w:rFonts w:asciiTheme="minorHAnsi" w:hAnsiTheme="minorHAnsi"/>
          <w:vertAlign w:val="superscript"/>
        </w:rPr>
        <w:t xml:space="preserve"> </w:t>
      </w:r>
      <w:r w:rsidR="00321BE0" w:rsidRPr="00556AD5">
        <w:rPr>
          <w:rFonts w:asciiTheme="minorHAnsi" w:hAnsiTheme="minorHAnsi"/>
          <w:vertAlign w:val="superscript"/>
        </w:rPr>
        <w:footnoteReference w:id="135"/>
      </w:r>
    </w:p>
    <w:p w:rsidR="00321BE0" w:rsidRPr="00556AD5" w:rsidRDefault="00321BE0" w:rsidP="00321BE0">
      <w:pPr>
        <w:pStyle w:val="Para"/>
        <w:tabs>
          <w:tab w:val="clear" w:pos="360"/>
          <w:tab w:val="left" w:pos="567"/>
        </w:tabs>
        <w:ind w:left="567" w:firstLine="0"/>
        <w:rPr>
          <w:rFonts w:asciiTheme="minorHAnsi" w:hAnsiTheme="minorHAnsi"/>
          <w:sz w:val="24"/>
        </w:rPr>
      </w:pPr>
    </w:p>
    <w:p w:rsidR="00321BE0" w:rsidRPr="00556AD5" w:rsidRDefault="00321BE0" w:rsidP="00321BE0">
      <w:pPr>
        <w:pStyle w:val="Quote"/>
        <w:spacing w:line="240" w:lineRule="auto"/>
        <w:ind w:left="1077"/>
        <w:rPr>
          <w:rFonts w:asciiTheme="minorHAnsi" w:eastAsia="Times New Roman" w:hAnsiTheme="minorHAnsi"/>
          <w:iCs w:val="0"/>
          <w:color w:val="auto"/>
          <w:szCs w:val="24"/>
          <w:lang w:val="en-US"/>
        </w:rPr>
      </w:pPr>
      <w:bookmarkStart w:id="1" w:name="para30"/>
      <w:r w:rsidRPr="00556AD5">
        <w:rPr>
          <w:rFonts w:asciiTheme="minorHAnsi" w:eastAsia="Times New Roman" w:hAnsiTheme="minorHAnsi"/>
          <w:iCs w:val="0"/>
          <w:color w:val="auto"/>
          <w:szCs w:val="24"/>
          <w:lang w:val="en-US"/>
        </w:rPr>
        <w:t xml:space="preserve">[W]here Parliament has defined the ingredients of an offence, perhaps stipulating what shall and shall not be a </w:t>
      </w:r>
      <w:proofErr w:type="spellStart"/>
      <w:r w:rsidRPr="00556AD5">
        <w:rPr>
          <w:rFonts w:asciiTheme="minorHAnsi" w:eastAsia="Times New Roman" w:hAnsiTheme="minorHAnsi"/>
          <w:iCs w:val="0"/>
          <w:color w:val="auto"/>
          <w:szCs w:val="24"/>
          <w:lang w:val="en-US"/>
        </w:rPr>
        <w:t>defence</w:t>
      </w:r>
      <w:proofErr w:type="spellEnd"/>
      <w:r w:rsidRPr="00556AD5">
        <w:rPr>
          <w:rFonts w:asciiTheme="minorHAnsi" w:eastAsia="Times New Roman" w:hAnsiTheme="minorHAnsi"/>
          <w:iCs w:val="0"/>
          <w:color w:val="auto"/>
          <w:szCs w:val="24"/>
          <w:lang w:val="en-US"/>
        </w:rPr>
        <w:t xml:space="preserve">, and has prescribed a mode of trial and a maximum penalty, it must ordinarily be proper that conduct falling within that definition should be prosecuted for the statutory offence and not for a common law offence which may or may not provide the same </w:t>
      </w:r>
      <w:proofErr w:type="spellStart"/>
      <w:r w:rsidRPr="00556AD5">
        <w:rPr>
          <w:rFonts w:asciiTheme="minorHAnsi" w:eastAsia="Times New Roman" w:hAnsiTheme="minorHAnsi"/>
          <w:iCs w:val="0"/>
          <w:color w:val="auto"/>
          <w:szCs w:val="24"/>
          <w:lang w:val="en-US"/>
        </w:rPr>
        <w:t>defences</w:t>
      </w:r>
      <w:proofErr w:type="spellEnd"/>
      <w:r w:rsidRPr="00556AD5">
        <w:rPr>
          <w:rFonts w:asciiTheme="minorHAnsi" w:eastAsia="Times New Roman" w:hAnsiTheme="minorHAnsi"/>
          <w:iCs w:val="0"/>
          <w:color w:val="auto"/>
          <w:szCs w:val="24"/>
          <w:lang w:val="en-US"/>
        </w:rPr>
        <w:t xml:space="preserve"> and for which the potential penalty is unlimited</w:t>
      </w:r>
      <w:bookmarkEnd w:id="1"/>
      <w:r w:rsidRPr="00556AD5">
        <w:rPr>
          <w:rFonts w:asciiTheme="minorHAnsi" w:eastAsia="Times New Roman" w:hAnsiTheme="minorHAnsi"/>
          <w:iCs w:val="0"/>
          <w:color w:val="auto"/>
          <w:szCs w:val="24"/>
          <w:lang w:val="en-US"/>
        </w:rPr>
        <w:t xml:space="preserve"> … It cannot in the ordinary way be a reason for resorting to the common law offence that the prosecutor is freed from mandatory time limits or restrictions on penalty. It must rather be assumed that Parliament imposed the restrictions which it did having considered and weighed up what the protection of the public reasonably demanded. I would not go to the length of holding that conduct may never be lawfully prosecuted as a generally-expressed common law crime where it falls within the terms of a specific statutory provision, but good practice and respect for the primacy of statute do in my judgment require that conduct falling within the terms of a specific statutory provision should be prosecuted under that provision unless there is good reason for doing otherwise.</w:t>
      </w:r>
      <w:r w:rsidR="0033181D">
        <w:rPr>
          <w:rFonts w:asciiTheme="minorHAnsi" w:eastAsia="Times New Roman" w:hAnsiTheme="minorHAnsi"/>
          <w:iCs w:val="0"/>
          <w:color w:val="auto"/>
          <w:szCs w:val="24"/>
          <w:lang w:val="en-US"/>
        </w:rPr>
        <w:t xml:space="preserve"> </w:t>
      </w:r>
    </w:p>
    <w:p w:rsidR="00321BE0" w:rsidRPr="00556AD5" w:rsidRDefault="000A52CC" w:rsidP="000A52CC">
      <w:pPr>
        <w:rPr>
          <w:b/>
          <w:i/>
          <w:sz w:val="24"/>
          <w:szCs w:val="24"/>
        </w:rPr>
      </w:pPr>
      <w:r>
        <w:rPr>
          <w:b/>
          <w:i/>
          <w:sz w:val="24"/>
          <w:szCs w:val="24"/>
        </w:rPr>
        <w:tab/>
      </w:r>
    </w:p>
    <w:p w:rsidR="000E18BA" w:rsidRDefault="00CA7B38" w:rsidP="00CA7B38">
      <w:pPr>
        <w:pStyle w:val="ListParagraph"/>
        <w:numPr>
          <w:ilvl w:val="0"/>
          <w:numId w:val="6"/>
        </w:numPr>
        <w:rPr>
          <w:b/>
          <w:i/>
          <w:sz w:val="24"/>
          <w:szCs w:val="24"/>
        </w:rPr>
      </w:pPr>
      <w:r w:rsidRPr="00CA7B38">
        <w:rPr>
          <w:b/>
          <w:i/>
          <w:sz w:val="24"/>
          <w:szCs w:val="24"/>
        </w:rPr>
        <w:t>Certainty</w:t>
      </w:r>
    </w:p>
    <w:p w:rsidR="00CA7B38" w:rsidRPr="00CA7B38" w:rsidRDefault="00CA7B38" w:rsidP="00CA7B38">
      <w:pPr>
        <w:pStyle w:val="ListParagraph"/>
        <w:ind w:left="927"/>
        <w:rPr>
          <w:b/>
          <w:i/>
          <w:sz w:val="24"/>
          <w:szCs w:val="24"/>
        </w:rPr>
      </w:pPr>
    </w:p>
    <w:p w:rsidR="00E823C7" w:rsidRPr="00556AD5" w:rsidRDefault="00E823C7"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lastRenderedPageBreak/>
        <w:t xml:space="preserve">In </w:t>
      </w:r>
      <w:r w:rsidRPr="00556AD5">
        <w:rPr>
          <w:i/>
        </w:rPr>
        <w:t>Norris v Government of the USA</w:t>
      </w:r>
      <w:r w:rsidRPr="00556AD5">
        <w:t>,</w:t>
      </w:r>
      <w:r w:rsidRPr="00556AD5">
        <w:rPr>
          <w:rStyle w:val="FootnoteReference"/>
        </w:rPr>
        <w:footnoteReference w:id="136"/>
      </w:r>
      <w:r w:rsidRPr="00556AD5">
        <w:t xml:space="preserve"> the House of Lords was concerned with whether a US Sherman Act cartel offence of strict liability which did not require proof of fraud, deception, or dishonesty, would have constituted a conspiracy to defraud in this country. </w:t>
      </w:r>
      <w:r w:rsidRPr="00556AD5">
        <w:rPr>
          <w:i/>
        </w:rPr>
        <w:t>GG</w:t>
      </w:r>
      <w:r w:rsidRPr="00556AD5">
        <w:rPr>
          <w:rStyle w:val="FootnoteReference"/>
        </w:rPr>
        <w:footnoteReference w:id="137"/>
      </w:r>
      <w:r w:rsidRPr="00556AD5">
        <w:t xml:space="preserve"> gave rise to similar issues, namely whether a price fixing cartel which came into being before the </w:t>
      </w:r>
      <w:r w:rsidRPr="00556AD5">
        <w:rPr>
          <w:i/>
        </w:rPr>
        <w:t>Competition Act</w:t>
      </w:r>
      <w:r w:rsidRPr="00556AD5">
        <w:t xml:space="preserve"> 1998 and which existed in circumstances of secretive and deceptive behaviour could constitute conspiracy to defraud. </w:t>
      </w:r>
    </w:p>
    <w:p w:rsidR="00E823C7" w:rsidRPr="00556AD5" w:rsidRDefault="00E823C7" w:rsidP="00E823C7">
      <w:pPr>
        <w:pStyle w:val="ListParagraph"/>
        <w:autoSpaceDE w:val="0"/>
        <w:autoSpaceDN w:val="0"/>
        <w:adjustRightInd w:val="0"/>
        <w:spacing w:after="0" w:line="240" w:lineRule="auto"/>
        <w:ind w:left="567"/>
        <w:rPr>
          <w:rFonts w:cs="Times New Roman"/>
          <w:sz w:val="24"/>
          <w:szCs w:val="24"/>
        </w:rPr>
      </w:pPr>
    </w:p>
    <w:p w:rsidR="00E823C7" w:rsidRPr="00556AD5" w:rsidRDefault="00E823C7"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CA7B38">
        <w:rPr>
          <w:rFonts w:cs="Times New Roman"/>
          <w:sz w:val="24"/>
          <w:szCs w:val="24"/>
        </w:rPr>
        <w:t xml:space="preserve">In both cases, the prosecution approach was rejected.  The Committee ruled that </w:t>
      </w:r>
      <w:r w:rsidRPr="00CA7B38">
        <w:rPr>
          <w:sz w:val="24"/>
          <w:szCs w:val="24"/>
        </w:rPr>
        <w:t>the common law recognized that an agreement in restraint of trade might be unreasonable in the public interest, but, absent fraud, misrepresentation, violence, intimidation, or inducement of a breach of contract, such agreements were neither actionable nor indictable.</w:t>
      </w:r>
      <w:r w:rsidRPr="00CA7B38">
        <w:rPr>
          <w:rStyle w:val="FootnoteReference"/>
          <w:sz w:val="24"/>
          <w:szCs w:val="24"/>
        </w:rPr>
        <w:footnoteReference w:id="138"/>
      </w:r>
      <w:r w:rsidRPr="00CA7B38">
        <w:rPr>
          <w:sz w:val="24"/>
          <w:szCs w:val="24"/>
        </w:rPr>
        <w:t xml:space="preserve"> Second, it observed that no one had hitherto regarded secret cartel behaviour as constituting criminal conduct, let alone a conspiracy to defraud, and that to do so would contravene the principles of certainty articulated in </w:t>
      </w:r>
      <w:proofErr w:type="spellStart"/>
      <w:r w:rsidRPr="00CA7B38">
        <w:rPr>
          <w:i/>
          <w:sz w:val="24"/>
          <w:szCs w:val="24"/>
        </w:rPr>
        <w:t>Rimmington</w:t>
      </w:r>
      <w:proofErr w:type="spellEnd"/>
      <w:r w:rsidRPr="00556AD5">
        <w:t>.</w:t>
      </w:r>
      <w:r w:rsidRPr="00556AD5">
        <w:rPr>
          <w:rStyle w:val="FootnoteReference"/>
        </w:rPr>
        <w:footnoteReference w:id="139"/>
      </w:r>
      <w:r w:rsidRPr="00556AD5">
        <w:t xml:space="preserve"> </w:t>
      </w:r>
    </w:p>
    <w:p w:rsidR="00E823C7" w:rsidRPr="00556AD5" w:rsidRDefault="00E823C7" w:rsidP="00E823C7">
      <w:pPr>
        <w:pStyle w:val="ListParagraph"/>
        <w:rPr>
          <w:rFonts w:cs="Times New Roman"/>
          <w:sz w:val="24"/>
          <w:szCs w:val="24"/>
        </w:rPr>
      </w:pPr>
    </w:p>
    <w:p w:rsidR="00E823C7" w:rsidRPr="00556AD5" w:rsidRDefault="00E823C7"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szCs w:val="24"/>
        </w:rPr>
        <w:t xml:space="preserve">The development of the common law played its part.   </w:t>
      </w:r>
      <w:r w:rsidR="00917CA3" w:rsidRPr="00556AD5">
        <w:rPr>
          <w:rFonts w:cs="Times New Roman"/>
          <w:sz w:val="24"/>
          <w:szCs w:val="24"/>
        </w:rPr>
        <w:t xml:space="preserve">During the nineteenth century the courts began to restrict the freedoms granted by Parliamentary repeals to trade and the markets. The most notable shift was in relation to </w:t>
      </w:r>
      <w:r w:rsidR="00917CA3" w:rsidRPr="00556AD5">
        <w:rPr>
          <w:sz w:val="24"/>
          <w:szCs w:val="24"/>
        </w:rPr>
        <w:t xml:space="preserve">cartels as exemplified in </w:t>
      </w:r>
      <w:r w:rsidR="00917CA3" w:rsidRPr="00556AD5">
        <w:rPr>
          <w:i/>
          <w:iCs/>
          <w:sz w:val="24"/>
          <w:szCs w:val="24"/>
        </w:rPr>
        <w:t xml:space="preserve">Mogul Steamship Co. Ltd v McGregor </w:t>
      </w:r>
      <w:proofErr w:type="spellStart"/>
      <w:r w:rsidR="00917CA3" w:rsidRPr="00556AD5">
        <w:rPr>
          <w:i/>
          <w:iCs/>
          <w:sz w:val="24"/>
          <w:szCs w:val="24"/>
        </w:rPr>
        <w:t>Gow</w:t>
      </w:r>
      <w:proofErr w:type="spellEnd"/>
      <w:r w:rsidR="00917CA3" w:rsidRPr="00556AD5">
        <w:rPr>
          <w:i/>
          <w:iCs/>
          <w:sz w:val="24"/>
          <w:szCs w:val="24"/>
        </w:rPr>
        <w:t xml:space="preserve"> &amp; Co.</w:t>
      </w:r>
      <w:r w:rsidR="00917CA3" w:rsidRPr="00556AD5">
        <w:rPr>
          <w:rStyle w:val="FootnoteReference"/>
          <w:sz w:val="24"/>
          <w:szCs w:val="24"/>
        </w:rPr>
        <w:footnoteReference w:id="140"/>
      </w:r>
      <w:r w:rsidR="00917CA3" w:rsidRPr="00556AD5">
        <w:rPr>
          <w:sz w:val="24"/>
          <w:szCs w:val="24"/>
        </w:rPr>
        <w:t xml:space="preserve">In </w:t>
      </w:r>
      <w:r w:rsidR="00917CA3" w:rsidRPr="00556AD5">
        <w:rPr>
          <w:i/>
          <w:sz w:val="24"/>
          <w:szCs w:val="24"/>
        </w:rPr>
        <w:t>Mogul</w:t>
      </w:r>
      <w:r w:rsidR="00917CA3" w:rsidRPr="00556AD5">
        <w:rPr>
          <w:sz w:val="24"/>
          <w:szCs w:val="24"/>
        </w:rPr>
        <w:t>, ship owners had combined to reduce freight charges to uneconomic levels to drive others, including the plaintiffs, away from the ports where they operated.  Their combination was held to be lawful as they had acted to protect their own trade interests, and not merely to injure the plaintiffs. Only if the purpose of the cartel was malicious injury to the Plaintiff would the cartel itself be unlawful. That common law position subsists.</w:t>
      </w:r>
      <w:r w:rsidR="00917CA3" w:rsidRPr="00556AD5">
        <w:rPr>
          <w:rStyle w:val="FootnoteReference"/>
          <w:sz w:val="24"/>
          <w:szCs w:val="24"/>
        </w:rPr>
        <w:footnoteReference w:id="141"/>
      </w:r>
      <w:r w:rsidR="00917CA3" w:rsidRPr="00556AD5">
        <w:rPr>
          <w:sz w:val="24"/>
          <w:szCs w:val="24"/>
        </w:rPr>
        <w:t xml:space="preserve"> It was considered, followed and amplified in a number of subsequent cases, namely </w:t>
      </w:r>
      <w:r w:rsidR="00917CA3" w:rsidRPr="00556AD5">
        <w:rPr>
          <w:i/>
          <w:iCs/>
          <w:sz w:val="24"/>
          <w:szCs w:val="24"/>
        </w:rPr>
        <w:t>Allen v Flood</w:t>
      </w:r>
      <w:r w:rsidR="00917CA3" w:rsidRPr="00556AD5">
        <w:rPr>
          <w:sz w:val="24"/>
          <w:szCs w:val="24"/>
        </w:rPr>
        <w:t xml:space="preserve">; </w:t>
      </w:r>
      <w:r w:rsidR="00917CA3" w:rsidRPr="00556AD5">
        <w:rPr>
          <w:i/>
          <w:iCs/>
          <w:sz w:val="24"/>
          <w:szCs w:val="24"/>
        </w:rPr>
        <w:t xml:space="preserve">Quinn v </w:t>
      </w:r>
      <w:proofErr w:type="spellStart"/>
      <w:r w:rsidR="00917CA3" w:rsidRPr="00556AD5">
        <w:rPr>
          <w:i/>
          <w:iCs/>
          <w:sz w:val="24"/>
          <w:szCs w:val="24"/>
        </w:rPr>
        <w:t>Leathem</w:t>
      </w:r>
      <w:proofErr w:type="spellEnd"/>
      <w:r w:rsidR="00917CA3" w:rsidRPr="00556AD5">
        <w:rPr>
          <w:sz w:val="24"/>
          <w:szCs w:val="24"/>
        </w:rPr>
        <w:t xml:space="preserve">; </w:t>
      </w:r>
      <w:r w:rsidR="00917CA3" w:rsidRPr="00556AD5">
        <w:rPr>
          <w:i/>
          <w:iCs/>
          <w:sz w:val="24"/>
          <w:szCs w:val="24"/>
        </w:rPr>
        <w:t>Ware and De Freville Ltd v Motor Trade Association</w:t>
      </w:r>
      <w:r w:rsidR="00917CA3" w:rsidRPr="00556AD5">
        <w:rPr>
          <w:sz w:val="24"/>
          <w:szCs w:val="24"/>
        </w:rPr>
        <w:t xml:space="preserve">; </w:t>
      </w:r>
      <w:r w:rsidR="00917CA3" w:rsidRPr="00556AD5">
        <w:rPr>
          <w:i/>
          <w:iCs/>
          <w:sz w:val="24"/>
          <w:szCs w:val="24"/>
        </w:rPr>
        <w:t>Sorrel v Smith</w:t>
      </w:r>
      <w:proofErr w:type="gramStart"/>
      <w:r w:rsidR="00917CA3" w:rsidRPr="00556AD5">
        <w:rPr>
          <w:sz w:val="24"/>
          <w:szCs w:val="24"/>
        </w:rPr>
        <w:t>,</w:t>
      </w:r>
      <w:proofErr w:type="gramEnd"/>
      <w:r w:rsidR="00917CA3" w:rsidRPr="00556AD5">
        <w:rPr>
          <w:rStyle w:val="FootnoteReference"/>
          <w:sz w:val="24"/>
          <w:szCs w:val="24"/>
        </w:rPr>
        <w:t xml:space="preserve"> </w:t>
      </w:r>
      <w:r w:rsidR="00917CA3" w:rsidRPr="00556AD5">
        <w:rPr>
          <w:sz w:val="24"/>
          <w:szCs w:val="24"/>
        </w:rPr>
        <w:t xml:space="preserve">and </w:t>
      </w:r>
      <w:r w:rsidR="00917CA3" w:rsidRPr="00556AD5">
        <w:rPr>
          <w:i/>
          <w:iCs/>
          <w:sz w:val="24"/>
          <w:szCs w:val="24"/>
        </w:rPr>
        <w:t>Crofter Hand Woven Harris Tweed Co. Ltd v Veitch and Others.</w:t>
      </w:r>
      <w:r w:rsidR="00917CA3" w:rsidRPr="00556AD5">
        <w:rPr>
          <w:rStyle w:val="FootnoteReference"/>
          <w:sz w:val="24"/>
          <w:szCs w:val="24"/>
        </w:rPr>
        <w:footnoteReference w:id="142"/>
      </w:r>
    </w:p>
    <w:p w:rsidR="00917CA3" w:rsidRPr="00556AD5" w:rsidRDefault="00917CA3" w:rsidP="00917CA3">
      <w:pPr>
        <w:pStyle w:val="ListParagraph"/>
        <w:rPr>
          <w:rFonts w:cs="Times New Roman"/>
          <w:sz w:val="24"/>
          <w:szCs w:val="24"/>
        </w:rPr>
      </w:pPr>
    </w:p>
    <w:p w:rsidR="009224BC" w:rsidRPr="00556AD5" w:rsidRDefault="00917CA3"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szCs w:val="24"/>
        </w:rPr>
        <w:t xml:space="preserve">The </w:t>
      </w:r>
      <w:r w:rsidRPr="00556AD5">
        <w:rPr>
          <w:rFonts w:cs="Times New Roman"/>
          <w:i/>
          <w:sz w:val="24"/>
          <w:szCs w:val="24"/>
        </w:rPr>
        <w:t>Profiteering Acts</w:t>
      </w:r>
      <w:r w:rsidRPr="00556AD5">
        <w:rPr>
          <w:rFonts w:cs="Times New Roman"/>
          <w:sz w:val="24"/>
          <w:szCs w:val="24"/>
        </w:rPr>
        <w:t xml:space="preserve"> 1919 were introduced briefly after the First World War in response to public outcry against profiteering. In effect they represented a temporary reinstatement of </w:t>
      </w:r>
      <w:proofErr w:type="spellStart"/>
      <w:r w:rsidRPr="00556AD5">
        <w:rPr>
          <w:rFonts w:cs="Times New Roman"/>
          <w:sz w:val="24"/>
          <w:szCs w:val="24"/>
        </w:rPr>
        <w:t>ingrossing</w:t>
      </w:r>
      <w:proofErr w:type="spellEnd"/>
      <w:r w:rsidRPr="00556AD5">
        <w:rPr>
          <w:rFonts w:cs="Times New Roman"/>
          <w:sz w:val="24"/>
          <w:szCs w:val="24"/>
        </w:rPr>
        <w:t xml:space="preserve">, forestalling and </w:t>
      </w:r>
      <w:proofErr w:type="spellStart"/>
      <w:r w:rsidRPr="00556AD5">
        <w:rPr>
          <w:rFonts w:cs="Times New Roman"/>
          <w:sz w:val="24"/>
          <w:szCs w:val="24"/>
        </w:rPr>
        <w:t>regrating</w:t>
      </w:r>
      <w:proofErr w:type="spellEnd"/>
      <w:r w:rsidRPr="00556AD5">
        <w:rPr>
          <w:rFonts w:cs="Times New Roman"/>
          <w:sz w:val="24"/>
          <w:szCs w:val="24"/>
        </w:rPr>
        <w:t xml:space="preserve">.  However, no other controls were introduced until the </w:t>
      </w:r>
      <w:r w:rsidRPr="00556AD5">
        <w:rPr>
          <w:rFonts w:cs="Times New Roman"/>
          <w:i/>
          <w:sz w:val="24"/>
          <w:szCs w:val="24"/>
        </w:rPr>
        <w:t>Restrictive Trade Practices Act</w:t>
      </w:r>
      <w:r w:rsidRPr="00556AD5">
        <w:rPr>
          <w:rFonts w:cs="Times New Roman"/>
          <w:sz w:val="24"/>
          <w:szCs w:val="24"/>
        </w:rPr>
        <w:t xml:space="preserve"> (RTPA) 1956 as later extended, amended and consolidated by the </w:t>
      </w:r>
      <w:r w:rsidRPr="00556AD5">
        <w:rPr>
          <w:rFonts w:cs="Times New Roman"/>
          <w:i/>
          <w:sz w:val="24"/>
          <w:szCs w:val="24"/>
        </w:rPr>
        <w:t>RTPA</w:t>
      </w:r>
      <w:r w:rsidRPr="00556AD5">
        <w:rPr>
          <w:rFonts w:cs="Times New Roman"/>
          <w:sz w:val="24"/>
          <w:szCs w:val="24"/>
        </w:rPr>
        <w:t xml:space="preserve"> 1968, </w:t>
      </w:r>
      <w:r w:rsidRPr="00556AD5">
        <w:rPr>
          <w:rFonts w:cs="Times New Roman"/>
          <w:i/>
          <w:sz w:val="24"/>
          <w:szCs w:val="24"/>
        </w:rPr>
        <w:t>RTPA</w:t>
      </w:r>
      <w:r w:rsidRPr="00556AD5">
        <w:rPr>
          <w:rFonts w:cs="Times New Roman"/>
          <w:sz w:val="24"/>
          <w:szCs w:val="24"/>
        </w:rPr>
        <w:t xml:space="preserve"> 1976 and the </w:t>
      </w:r>
      <w:r w:rsidRPr="00556AD5">
        <w:rPr>
          <w:rFonts w:cs="Times New Roman"/>
          <w:i/>
          <w:sz w:val="24"/>
          <w:szCs w:val="24"/>
        </w:rPr>
        <w:t>Fair Trading Act</w:t>
      </w:r>
      <w:r w:rsidRPr="00556AD5">
        <w:rPr>
          <w:rFonts w:cs="Times New Roman"/>
          <w:sz w:val="24"/>
          <w:szCs w:val="24"/>
        </w:rPr>
        <w:t xml:space="preserve"> 1973. The statutory scheme set up a new civil jurisdiction exercised by t</w:t>
      </w:r>
      <w:r w:rsidR="009224BC" w:rsidRPr="00556AD5">
        <w:rPr>
          <w:rFonts w:cs="Times New Roman"/>
          <w:sz w:val="24"/>
          <w:szCs w:val="24"/>
        </w:rPr>
        <w:t>he Restrictive Practices Court which unusually policed the whole of the UK.</w:t>
      </w:r>
    </w:p>
    <w:p w:rsidR="009224BC" w:rsidRPr="00556AD5" w:rsidRDefault="009224BC" w:rsidP="009224BC">
      <w:pPr>
        <w:pStyle w:val="ListParagraph"/>
        <w:rPr>
          <w:rFonts w:cs="Times New Roman"/>
          <w:sz w:val="24"/>
          <w:szCs w:val="24"/>
        </w:rPr>
      </w:pPr>
    </w:p>
    <w:p w:rsidR="009224BC" w:rsidRPr="00556AD5" w:rsidRDefault="009224BC"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szCs w:val="24"/>
        </w:rPr>
        <w:t xml:space="preserve">However, no breach of its statutory provisions appears ever to have been used to justify a criminal prosecution using conspiracy to defraud.  During the debates on the original legislation in the Commons, both parties rejected the creation of criminal </w:t>
      </w:r>
      <w:r w:rsidRPr="00556AD5">
        <w:rPr>
          <w:rFonts w:cs="Times New Roman"/>
          <w:sz w:val="24"/>
          <w:szCs w:val="24"/>
        </w:rPr>
        <w:lastRenderedPageBreak/>
        <w:t xml:space="preserve">offences to police the Act. Moreover, </w:t>
      </w:r>
      <w:r w:rsidRPr="00556AD5">
        <w:rPr>
          <w:sz w:val="24"/>
          <w:szCs w:val="24"/>
        </w:rPr>
        <w:t>both the President of the Board of Trade and the Lord Chancellor rejected the "</w:t>
      </w:r>
      <w:r w:rsidRPr="00556AD5">
        <w:rPr>
          <w:i/>
          <w:iCs/>
          <w:sz w:val="24"/>
          <w:szCs w:val="24"/>
        </w:rPr>
        <w:t>odour of criminality</w:t>
      </w:r>
      <w:r w:rsidRPr="00556AD5">
        <w:rPr>
          <w:sz w:val="24"/>
          <w:szCs w:val="24"/>
        </w:rPr>
        <w:t>" which they detected in the Report.</w:t>
      </w:r>
      <w:r w:rsidRPr="00556AD5">
        <w:rPr>
          <w:rStyle w:val="FootnoteReference"/>
          <w:sz w:val="24"/>
          <w:szCs w:val="24"/>
        </w:rPr>
        <w:footnoteReference w:id="143"/>
      </w:r>
    </w:p>
    <w:p w:rsidR="009224BC" w:rsidRPr="00556AD5" w:rsidRDefault="009224BC" w:rsidP="009224BC">
      <w:pPr>
        <w:pStyle w:val="ListParagraph"/>
        <w:autoSpaceDE w:val="0"/>
        <w:autoSpaceDN w:val="0"/>
        <w:adjustRightInd w:val="0"/>
        <w:spacing w:after="0" w:line="240" w:lineRule="auto"/>
        <w:ind w:left="567"/>
        <w:rPr>
          <w:rFonts w:cs="Times New Roman"/>
          <w:sz w:val="24"/>
          <w:szCs w:val="24"/>
        </w:rPr>
      </w:pPr>
    </w:p>
    <w:p w:rsidR="008A4412" w:rsidRPr="00556AD5" w:rsidRDefault="008A4412"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szCs w:val="24"/>
        </w:rPr>
        <w:t xml:space="preserve">Accordingly, in </w:t>
      </w:r>
      <w:r w:rsidRPr="00556AD5">
        <w:rPr>
          <w:rFonts w:cs="Times New Roman"/>
          <w:i/>
          <w:sz w:val="24"/>
          <w:szCs w:val="24"/>
        </w:rPr>
        <w:t>Goldshield</w:t>
      </w:r>
      <w:r w:rsidRPr="00556AD5">
        <w:rPr>
          <w:rFonts w:cs="Times New Roman"/>
          <w:sz w:val="24"/>
          <w:szCs w:val="24"/>
        </w:rPr>
        <w:t xml:space="preserve"> the House of Lords observed that lawful cartel behaviour, which might be carried out in circumstances of secretive and deceptive behaviour, required specific aggravating features such lies or positive deception in order to elevate price fixing into conspiracy to defraud.  </w:t>
      </w:r>
    </w:p>
    <w:p w:rsidR="008A4412" w:rsidRPr="00556AD5" w:rsidRDefault="008A4412" w:rsidP="008A4412">
      <w:pPr>
        <w:pStyle w:val="ListParagraph"/>
        <w:rPr>
          <w:rFonts w:cs="Times New Roman"/>
          <w:sz w:val="24"/>
          <w:szCs w:val="24"/>
        </w:rPr>
      </w:pPr>
    </w:p>
    <w:p w:rsidR="00E86739" w:rsidRPr="00CA7B38" w:rsidRDefault="00E86739" w:rsidP="00CA7B38">
      <w:pPr>
        <w:pStyle w:val="ListParagraph"/>
        <w:numPr>
          <w:ilvl w:val="0"/>
          <w:numId w:val="6"/>
        </w:numPr>
        <w:rPr>
          <w:rFonts w:cs="Times New Roman"/>
          <w:b/>
          <w:sz w:val="24"/>
          <w:szCs w:val="24"/>
        </w:rPr>
      </w:pPr>
      <w:r w:rsidRPr="00CA7B38">
        <w:rPr>
          <w:rFonts w:cs="Times New Roman"/>
          <w:b/>
          <w:sz w:val="24"/>
          <w:szCs w:val="24"/>
        </w:rPr>
        <w:t>Evans</w:t>
      </w:r>
    </w:p>
    <w:p w:rsidR="00E86739" w:rsidRPr="00556AD5" w:rsidRDefault="00E86739" w:rsidP="00E86739">
      <w:pPr>
        <w:pStyle w:val="ListParagraph"/>
        <w:ind w:left="927"/>
        <w:rPr>
          <w:rFonts w:cs="Times New Roman"/>
          <w:b/>
          <w:sz w:val="24"/>
          <w:szCs w:val="24"/>
        </w:rPr>
      </w:pPr>
    </w:p>
    <w:p w:rsidR="00E86739" w:rsidRPr="00556AD5" w:rsidRDefault="00E86739"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i/>
          <w:sz w:val="24"/>
          <w:szCs w:val="24"/>
        </w:rPr>
        <w:t>Evans</w:t>
      </w:r>
      <w:r w:rsidRPr="00556AD5">
        <w:rPr>
          <w:rStyle w:val="FootnoteReference"/>
          <w:rFonts w:cs="Times New Roman"/>
          <w:i/>
          <w:sz w:val="24"/>
          <w:szCs w:val="24"/>
        </w:rPr>
        <w:footnoteReference w:id="144"/>
      </w:r>
      <w:r w:rsidRPr="00556AD5">
        <w:rPr>
          <w:rFonts w:cs="Times New Roman"/>
          <w:sz w:val="24"/>
          <w:szCs w:val="24"/>
        </w:rPr>
        <w:t xml:space="preserve"> (the Coal Board case) is another useful example of prosecution error. </w:t>
      </w:r>
      <w:r w:rsidR="00907B46" w:rsidRPr="00556AD5">
        <w:rPr>
          <w:rFonts w:cs="Times New Roman"/>
          <w:sz w:val="24"/>
          <w:szCs w:val="24"/>
        </w:rPr>
        <w:t xml:space="preserve">The prosecution sought to allege that conspiracy to defraud subsisted because of the defendant’s dishonest intentions and acts. In a nutshell, in 1994 Celtic Energy Ltd (Celtic) obtained the freehold of a number of Welsh coalmines for £100m, and a licence from the Coal Authority to undertake mining operations. </w:t>
      </w:r>
    </w:p>
    <w:p w:rsidR="009224BC" w:rsidRPr="00556AD5" w:rsidRDefault="009224BC" w:rsidP="009224BC">
      <w:pPr>
        <w:pStyle w:val="ListParagraph"/>
        <w:autoSpaceDE w:val="0"/>
        <w:autoSpaceDN w:val="0"/>
        <w:adjustRightInd w:val="0"/>
        <w:spacing w:after="0" w:line="240" w:lineRule="auto"/>
        <w:ind w:left="567"/>
        <w:rPr>
          <w:rFonts w:cs="Times New Roman"/>
          <w:sz w:val="24"/>
          <w:szCs w:val="24"/>
        </w:rPr>
      </w:pPr>
    </w:p>
    <w:p w:rsidR="008A4412" w:rsidRPr="00556AD5" w:rsidRDefault="008A4412"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sz w:val="24"/>
          <w:szCs w:val="24"/>
        </w:rPr>
        <w:t xml:space="preserve">It was a requirement of the licences that once mining ceased, Celtic would restore the sites. That would cost tens of millions of pounds. If Celtic defaulted, the work could be carried out by the </w:t>
      </w:r>
      <w:r w:rsidR="00A301B9" w:rsidRPr="00556AD5">
        <w:rPr>
          <w:rFonts w:cs="Times New Roman"/>
          <w:sz w:val="24"/>
          <w:szCs w:val="24"/>
        </w:rPr>
        <w:t>Board</w:t>
      </w:r>
      <w:r w:rsidRPr="00556AD5">
        <w:rPr>
          <w:rFonts w:cs="Times New Roman"/>
          <w:sz w:val="24"/>
          <w:szCs w:val="24"/>
        </w:rPr>
        <w:t xml:space="preserve">, which would then be indemnified by the freeholder, Celtic. By 2010, Celtic had restored all save four of its sites but had insufficient funds properly to restore the remainder.  Celtic’s solicitors and counsel advised that of Celtic sold its freehold title, it would also be passing on its restoration obligations.  Accordingly, Celtic’s solicitors set up a BVI company which had relatively few assets and appeared to be independent (but was not) to purchase the remaining Welsh freeholds.  That released Celtic remaining pot of restoration monies for other purposes. The </w:t>
      </w:r>
      <w:proofErr w:type="gramStart"/>
      <w:r w:rsidRPr="00556AD5">
        <w:rPr>
          <w:rFonts w:cs="Times New Roman"/>
          <w:sz w:val="24"/>
          <w:szCs w:val="24"/>
        </w:rPr>
        <w:t>scheme,</w:t>
      </w:r>
      <w:proofErr w:type="gramEnd"/>
      <w:r w:rsidRPr="00556AD5">
        <w:rPr>
          <w:rFonts w:cs="Times New Roman"/>
          <w:sz w:val="24"/>
          <w:szCs w:val="24"/>
        </w:rPr>
        <w:t xml:space="preserve"> was, as the trial judge observed, “</w:t>
      </w:r>
      <w:r w:rsidRPr="00556AD5">
        <w:rPr>
          <w:rFonts w:cs="Times New Roman"/>
          <w:i/>
          <w:sz w:val="24"/>
          <w:szCs w:val="24"/>
        </w:rPr>
        <w:t xml:space="preserve">entirely dishonest” </w:t>
      </w:r>
      <w:r w:rsidRPr="00556AD5">
        <w:rPr>
          <w:rFonts w:cs="Times New Roman"/>
          <w:sz w:val="24"/>
          <w:szCs w:val="24"/>
        </w:rPr>
        <w:t xml:space="preserve">but lawful. </w:t>
      </w:r>
    </w:p>
    <w:p w:rsidR="008A4412" w:rsidRPr="00556AD5" w:rsidRDefault="008A4412" w:rsidP="008A4412">
      <w:pPr>
        <w:pStyle w:val="ListParagraph"/>
        <w:autoSpaceDE w:val="0"/>
        <w:autoSpaceDN w:val="0"/>
        <w:adjustRightInd w:val="0"/>
        <w:spacing w:after="0" w:line="240" w:lineRule="auto"/>
        <w:ind w:left="567"/>
        <w:rPr>
          <w:rFonts w:cs="Times New Roman"/>
          <w:sz w:val="24"/>
          <w:szCs w:val="24"/>
        </w:rPr>
      </w:pPr>
    </w:p>
    <w:p w:rsidR="008A4412" w:rsidRPr="00556AD5" w:rsidRDefault="008A4412" w:rsidP="005C19CA">
      <w:pPr>
        <w:pStyle w:val="ListParagraph"/>
        <w:numPr>
          <w:ilvl w:val="0"/>
          <w:numId w:val="11"/>
        </w:numPr>
        <w:autoSpaceDE w:val="0"/>
        <w:autoSpaceDN w:val="0"/>
        <w:adjustRightInd w:val="0"/>
        <w:spacing w:after="0" w:line="240" w:lineRule="auto"/>
        <w:ind w:left="567" w:hanging="567"/>
        <w:rPr>
          <w:rFonts w:cs="Times New Roman"/>
          <w:sz w:val="24"/>
          <w:szCs w:val="24"/>
        </w:rPr>
      </w:pPr>
      <w:r w:rsidRPr="00556AD5">
        <w:rPr>
          <w:rFonts w:cs="Times New Roman"/>
          <w:i/>
          <w:sz w:val="24"/>
          <w:szCs w:val="24"/>
        </w:rPr>
        <w:t>Evans</w:t>
      </w:r>
      <w:r w:rsidRPr="00556AD5">
        <w:rPr>
          <w:rFonts w:cs="Times New Roman"/>
          <w:sz w:val="24"/>
          <w:szCs w:val="24"/>
        </w:rPr>
        <w:t xml:space="preserve"> should be viewed with care. The prosecution’s difficulty was that it simply sought to rely on the apparent dishonesty. As the trial judge pointed out: there is no crime of dishonesty.  Attempts made by the prosecution to bring an involuntary bill of conspiracy to defraud failed because of quasi abuse arguments. In effect they sought too late to change the basis on which the case was presented in order to allege unlawful activity to justify the common law conspiracy.</w:t>
      </w:r>
      <w:r w:rsidRPr="00556AD5">
        <w:rPr>
          <w:rStyle w:val="FootnoteReference"/>
          <w:rFonts w:cs="Times New Roman"/>
          <w:sz w:val="24"/>
          <w:szCs w:val="24"/>
        </w:rPr>
        <w:footnoteReference w:id="145"/>
      </w:r>
      <w:r w:rsidRPr="00556AD5">
        <w:rPr>
          <w:rFonts w:cs="Times New Roman"/>
          <w:sz w:val="24"/>
          <w:szCs w:val="24"/>
        </w:rPr>
        <w:t xml:space="preserve">  As the Court of Appeal pointed out in </w:t>
      </w:r>
      <w:r w:rsidRPr="00556AD5">
        <w:rPr>
          <w:rFonts w:cs="Times New Roman"/>
          <w:i/>
          <w:sz w:val="24"/>
          <w:szCs w:val="24"/>
        </w:rPr>
        <w:t>Hayes</w:t>
      </w:r>
      <w:r w:rsidRPr="00556AD5">
        <w:rPr>
          <w:rStyle w:val="FootnoteReference"/>
          <w:rFonts w:cs="Times New Roman"/>
          <w:i/>
          <w:sz w:val="24"/>
          <w:szCs w:val="24"/>
        </w:rPr>
        <w:footnoteReference w:id="146"/>
      </w:r>
      <w:r w:rsidRPr="00556AD5">
        <w:rPr>
          <w:rFonts w:cs="Times New Roman"/>
          <w:i/>
          <w:sz w:val="24"/>
          <w:szCs w:val="24"/>
        </w:rPr>
        <w:t>:</w:t>
      </w:r>
    </w:p>
    <w:p w:rsidR="008A4412" w:rsidRPr="00556AD5" w:rsidRDefault="008A4412" w:rsidP="008A4412">
      <w:pPr>
        <w:autoSpaceDE w:val="0"/>
        <w:autoSpaceDN w:val="0"/>
        <w:adjustRightInd w:val="0"/>
        <w:spacing w:after="0" w:line="240" w:lineRule="auto"/>
        <w:ind w:left="851"/>
        <w:rPr>
          <w:rFonts w:cs="Times New Roman"/>
          <w:i/>
        </w:rPr>
      </w:pPr>
    </w:p>
    <w:p w:rsidR="008A4412" w:rsidRPr="00556AD5" w:rsidRDefault="008A4412" w:rsidP="008A4412">
      <w:pPr>
        <w:autoSpaceDE w:val="0"/>
        <w:autoSpaceDN w:val="0"/>
        <w:adjustRightInd w:val="0"/>
        <w:spacing w:after="0" w:line="240" w:lineRule="auto"/>
        <w:ind w:left="851"/>
        <w:rPr>
          <w:rFonts w:cs="TimesNewRoman"/>
          <w:sz w:val="24"/>
          <w:szCs w:val="24"/>
        </w:rPr>
      </w:pPr>
      <w:r w:rsidRPr="00556AD5">
        <w:rPr>
          <w:rFonts w:cs="Times New Roman"/>
          <w:i/>
        </w:rPr>
        <w:t>“</w:t>
      </w:r>
      <w:r w:rsidRPr="00556AD5">
        <w:rPr>
          <w:rFonts w:cs="TimesNewRoman"/>
          <w:i/>
        </w:rPr>
        <w:t xml:space="preserve">That case was decided on its own, and very unusual, facts. Moreover, it was decided by reference to the very particular way in which the Crown had chosen to frame the indictment, as </w:t>
      </w:r>
      <w:proofErr w:type="spellStart"/>
      <w:r w:rsidRPr="00556AD5">
        <w:rPr>
          <w:rFonts w:cs="TimesNewRoman"/>
          <w:i/>
        </w:rPr>
        <w:t>Fulford</w:t>
      </w:r>
      <w:proofErr w:type="spellEnd"/>
      <w:r w:rsidRPr="00556AD5">
        <w:rPr>
          <w:rFonts w:cs="TimesNewRoman"/>
          <w:i/>
        </w:rPr>
        <w:t xml:space="preserve"> LJ emphasised in his ruling. We should add, however, that our own view is that it is by no means to be assumed that, properly framed, the factual scenario </w:t>
      </w:r>
      <w:r w:rsidRPr="00556AD5">
        <w:rPr>
          <w:rFonts w:cs="TimesNewRoman"/>
          <w:i/>
        </w:rPr>
        <w:lastRenderedPageBreak/>
        <w:t xml:space="preserve">arising in Evans was not capable of constituting a common law conspiracy to defraud. Indeed, we were rather surprised to note that it was apparently accepted before </w:t>
      </w:r>
      <w:proofErr w:type="spellStart"/>
      <w:r w:rsidRPr="00556AD5">
        <w:rPr>
          <w:rFonts w:cs="TimesNewRoman"/>
          <w:i/>
        </w:rPr>
        <w:t>Hickinbottom</w:t>
      </w:r>
      <w:proofErr w:type="spellEnd"/>
      <w:r w:rsidRPr="00556AD5">
        <w:rPr>
          <w:rFonts w:cs="TimesNewRoman"/>
          <w:i/>
        </w:rPr>
        <w:t xml:space="preserve"> J that no unlawful object arose in that case and that no unlawful means could be identified. One only has to consider the facts of that case, as alleged, in some detail to see how debatable those apparent concessions were</w:t>
      </w:r>
      <w:r w:rsidRPr="00556AD5">
        <w:rPr>
          <w:rFonts w:cs="TimesNewRoman"/>
        </w:rPr>
        <w:t>.</w:t>
      </w:r>
      <w:r w:rsidRPr="00556AD5">
        <w:rPr>
          <w:rFonts w:cs="TimesNewRoman"/>
          <w:sz w:val="24"/>
          <w:szCs w:val="24"/>
        </w:rPr>
        <w:t>”</w:t>
      </w:r>
    </w:p>
    <w:p w:rsidR="00A301B9" w:rsidRPr="00556AD5" w:rsidRDefault="00A301B9" w:rsidP="008A4412">
      <w:pPr>
        <w:autoSpaceDE w:val="0"/>
        <w:autoSpaceDN w:val="0"/>
        <w:adjustRightInd w:val="0"/>
        <w:spacing w:after="0" w:line="240" w:lineRule="auto"/>
        <w:ind w:left="851"/>
        <w:rPr>
          <w:rFonts w:cs="Times New Roman"/>
          <w:sz w:val="24"/>
          <w:szCs w:val="24"/>
        </w:rPr>
      </w:pPr>
    </w:p>
    <w:p w:rsidR="00E823C7" w:rsidRPr="00556AD5" w:rsidRDefault="008A4412" w:rsidP="00E823C7">
      <w:pPr>
        <w:pStyle w:val="ListParagraph"/>
        <w:autoSpaceDE w:val="0"/>
        <w:autoSpaceDN w:val="0"/>
        <w:adjustRightInd w:val="0"/>
        <w:spacing w:after="0" w:line="240" w:lineRule="auto"/>
        <w:ind w:left="567"/>
        <w:rPr>
          <w:rFonts w:cs="Times New Roman"/>
          <w:b/>
          <w:sz w:val="24"/>
          <w:szCs w:val="24"/>
        </w:rPr>
      </w:pPr>
      <w:r w:rsidRPr="00556AD5">
        <w:rPr>
          <w:rFonts w:cs="Times New Roman"/>
          <w:b/>
          <w:sz w:val="24"/>
          <w:szCs w:val="24"/>
        </w:rPr>
        <w:t>Conclusion</w:t>
      </w:r>
    </w:p>
    <w:p w:rsidR="008A4412" w:rsidRPr="00556AD5" w:rsidRDefault="008A4412" w:rsidP="00E823C7">
      <w:pPr>
        <w:pStyle w:val="ListParagraph"/>
        <w:autoSpaceDE w:val="0"/>
        <w:autoSpaceDN w:val="0"/>
        <w:adjustRightInd w:val="0"/>
        <w:spacing w:after="0" w:line="240" w:lineRule="auto"/>
        <w:ind w:left="567"/>
        <w:rPr>
          <w:rFonts w:cs="Times New Roman"/>
          <w:b/>
          <w:sz w:val="24"/>
          <w:szCs w:val="24"/>
        </w:rPr>
      </w:pPr>
    </w:p>
    <w:p w:rsidR="00917CA3" w:rsidRPr="00556AD5" w:rsidRDefault="00917CA3" w:rsidP="005C19CA">
      <w:pPr>
        <w:pStyle w:val="ListParagraph"/>
        <w:numPr>
          <w:ilvl w:val="0"/>
          <w:numId w:val="11"/>
        </w:numPr>
        <w:spacing w:after="0" w:line="240" w:lineRule="auto"/>
        <w:ind w:left="567" w:hanging="567"/>
        <w:rPr>
          <w:sz w:val="24"/>
          <w:szCs w:val="24"/>
        </w:rPr>
      </w:pPr>
      <w:r w:rsidRPr="00556AD5">
        <w:rPr>
          <w:sz w:val="24"/>
          <w:szCs w:val="24"/>
        </w:rPr>
        <w:t xml:space="preserve">The common law position </w:t>
      </w:r>
      <w:r w:rsidR="008A4412" w:rsidRPr="00556AD5">
        <w:rPr>
          <w:sz w:val="24"/>
          <w:szCs w:val="24"/>
        </w:rPr>
        <w:t xml:space="preserve">for those trading in markets was collated and summarised </w:t>
      </w:r>
      <w:r w:rsidRPr="00556AD5">
        <w:rPr>
          <w:sz w:val="24"/>
          <w:szCs w:val="24"/>
        </w:rPr>
        <w:t xml:space="preserve">by Lord Halsbury in </w:t>
      </w:r>
      <w:r w:rsidRPr="00556AD5">
        <w:rPr>
          <w:i/>
          <w:iCs/>
          <w:sz w:val="24"/>
          <w:szCs w:val="24"/>
        </w:rPr>
        <w:t>Mogul</w:t>
      </w:r>
      <w:r w:rsidRPr="00556AD5">
        <w:rPr>
          <w:sz w:val="24"/>
          <w:szCs w:val="24"/>
        </w:rPr>
        <w:t xml:space="preserve">: </w:t>
      </w:r>
    </w:p>
    <w:p w:rsidR="00917CA3" w:rsidRPr="00556AD5" w:rsidRDefault="00917CA3" w:rsidP="008A4412">
      <w:pPr>
        <w:pStyle w:val="ListParagraph"/>
        <w:spacing w:after="0" w:line="240" w:lineRule="auto"/>
        <w:rPr>
          <w:sz w:val="24"/>
          <w:szCs w:val="24"/>
        </w:rPr>
      </w:pPr>
    </w:p>
    <w:p w:rsidR="008A4412" w:rsidRPr="00556AD5" w:rsidRDefault="00917CA3" w:rsidP="008A4412">
      <w:pPr>
        <w:pStyle w:val="ListParagraph"/>
        <w:numPr>
          <w:ilvl w:val="0"/>
          <w:numId w:val="9"/>
        </w:numPr>
        <w:spacing w:after="0" w:line="240" w:lineRule="auto"/>
        <w:rPr>
          <w:i/>
          <w:iCs/>
          <w:sz w:val="24"/>
          <w:szCs w:val="24"/>
        </w:rPr>
      </w:pPr>
      <w:proofErr w:type="gramStart"/>
      <w:r w:rsidRPr="00556AD5">
        <w:rPr>
          <w:i/>
          <w:iCs/>
          <w:sz w:val="24"/>
          <w:szCs w:val="24"/>
        </w:rPr>
        <w:t>a</w:t>
      </w:r>
      <w:proofErr w:type="gramEnd"/>
      <w:r w:rsidRPr="00556AD5">
        <w:rPr>
          <w:i/>
          <w:iCs/>
          <w:sz w:val="24"/>
          <w:szCs w:val="24"/>
        </w:rPr>
        <w:t xml:space="preserve"> trader in a free country in all matters not contrary to law may regulate his own mode of carrying on his trade according to his own discretion and choice."</w:t>
      </w:r>
      <w:r w:rsidRPr="00556AD5">
        <w:rPr>
          <w:rStyle w:val="FootnoteReference"/>
          <w:sz w:val="24"/>
          <w:szCs w:val="24"/>
        </w:rPr>
        <w:footnoteReference w:id="147"/>
      </w:r>
    </w:p>
    <w:p w:rsidR="008A4412" w:rsidRPr="00556AD5" w:rsidRDefault="008A4412" w:rsidP="008A4412">
      <w:pPr>
        <w:pStyle w:val="ListParagraph"/>
        <w:spacing w:after="0" w:line="240" w:lineRule="auto"/>
        <w:ind w:left="1440"/>
        <w:rPr>
          <w:i/>
          <w:iCs/>
          <w:sz w:val="24"/>
          <w:szCs w:val="24"/>
        </w:rPr>
      </w:pPr>
    </w:p>
    <w:p w:rsidR="008A4412" w:rsidRPr="00556AD5" w:rsidRDefault="00917CA3" w:rsidP="008A4412">
      <w:pPr>
        <w:pStyle w:val="ListParagraph"/>
        <w:numPr>
          <w:ilvl w:val="0"/>
          <w:numId w:val="9"/>
        </w:numPr>
        <w:spacing w:after="0" w:line="240" w:lineRule="auto"/>
        <w:rPr>
          <w:i/>
          <w:iCs/>
          <w:sz w:val="24"/>
          <w:szCs w:val="24"/>
        </w:rPr>
      </w:pPr>
      <w:r w:rsidRPr="00556AD5">
        <w:rPr>
          <w:i/>
          <w:sz w:val="24"/>
          <w:szCs w:val="24"/>
        </w:rPr>
        <w:t xml:space="preserve">The liberty of a man's mind and will to say how he should bestow himself and his means, his talents and his industry, was as much a subject of the law's protection as was that of his body. </w:t>
      </w:r>
      <w:r w:rsidRPr="00556AD5">
        <w:rPr>
          <w:rStyle w:val="FootnoteReference"/>
          <w:i/>
          <w:sz w:val="24"/>
          <w:szCs w:val="24"/>
        </w:rPr>
        <w:footnoteReference w:id="148"/>
      </w:r>
    </w:p>
    <w:p w:rsidR="008A4412" w:rsidRPr="00556AD5" w:rsidRDefault="008A4412" w:rsidP="008A4412">
      <w:pPr>
        <w:pStyle w:val="ListParagraph"/>
        <w:rPr>
          <w:i/>
          <w:sz w:val="24"/>
          <w:szCs w:val="24"/>
        </w:rPr>
      </w:pPr>
    </w:p>
    <w:p w:rsidR="00917CA3" w:rsidRPr="00556AD5" w:rsidRDefault="00917CA3" w:rsidP="008A4412">
      <w:pPr>
        <w:pStyle w:val="ListParagraph"/>
        <w:numPr>
          <w:ilvl w:val="0"/>
          <w:numId w:val="9"/>
        </w:numPr>
        <w:spacing w:after="0" w:line="240" w:lineRule="auto"/>
        <w:rPr>
          <w:i/>
          <w:iCs/>
          <w:sz w:val="24"/>
          <w:szCs w:val="24"/>
        </w:rPr>
      </w:pPr>
      <w:r w:rsidRPr="00556AD5">
        <w:rPr>
          <w:i/>
          <w:sz w:val="24"/>
          <w:szCs w:val="24"/>
        </w:rPr>
        <w:t>All are free to trade upon what terms they will</w:t>
      </w:r>
      <w:r w:rsidRPr="00556AD5">
        <w:rPr>
          <w:sz w:val="24"/>
          <w:szCs w:val="24"/>
        </w:rPr>
        <w:t>.</w:t>
      </w:r>
      <w:r w:rsidRPr="00556AD5">
        <w:rPr>
          <w:rStyle w:val="FootnoteReference"/>
          <w:sz w:val="24"/>
          <w:szCs w:val="24"/>
        </w:rPr>
        <w:footnoteReference w:id="149"/>
      </w:r>
    </w:p>
    <w:p w:rsidR="002F3B84" w:rsidRPr="00556AD5" w:rsidRDefault="002F3B84" w:rsidP="002F3B84">
      <w:pPr>
        <w:pStyle w:val="ListParagraph"/>
        <w:autoSpaceDE w:val="0"/>
        <w:autoSpaceDN w:val="0"/>
        <w:adjustRightInd w:val="0"/>
        <w:spacing w:after="0" w:line="240" w:lineRule="auto"/>
        <w:rPr>
          <w:rFonts w:cs="Times New Roman"/>
          <w:sz w:val="24"/>
          <w:szCs w:val="24"/>
        </w:rPr>
      </w:pPr>
    </w:p>
    <w:p w:rsidR="008A4412" w:rsidRPr="00556AD5" w:rsidRDefault="008A4412" w:rsidP="005C19CA">
      <w:pPr>
        <w:pStyle w:val="ListParagraph"/>
        <w:numPr>
          <w:ilvl w:val="0"/>
          <w:numId w:val="11"/>
        </w:numPr>
        <w:ind w:left="567" w:hanging="567"/>
        <w:rPr>
          <w:sz w:val="24"/>
          <w:szCs w:val="24"/>
        </w:rPr>
      </w:pPr>
      <w:r w:rsidRPr="00556AD5">
        <w:rPr>
          <w:sz w:val="24"/>
          <w:szCs w:val="24"/>
        </w:rPr>
        <w:t>In broad terms, that position remains</w:t>
      </w:r>
      <w:r w:rsidR="00BE3AFA" w:rsidRPr="00556AD5">
        <w:rPr>
          <w:sz w:val="24"/>
          <w:szCs w:val="24"/>
        </w:rPr>
        <w:t>, and the policing now undertaken by the common law is performed by conspiracy to defraud.</w:t>
      </w:r>
    </w:p>
    <w:p w:rsidR="008A4412" w:rsidRPr="00556AD5" w:rsidRDefault="008A4412" w:rsidP="008A4412">
      <w:pPr>
        <w:pStyle w:val="ListParagraph"/>
        <w:ind w:left="567"/>
        <w:rPr>
          <w:sz w:val="24"/>
          <w:szCs w:val="24"/>
        </w:rPr>
      </w:pPr>
    </w:p>
    <w:p w:rsidR="00CA7325" w:rsidRPr="00556AD5" w:rsidRDefault="00BE3AFA" w:rsidP="005C19CA">
      <w:pPr>
        <w:pStyle w:val="ListParagraph"/>
        <w:numPr>
          <w:ilvl w:val="0"/>
          <w:numId w:val="11"/>
        </w:numPr>
        <w:ind w:left="567" w:hanging="567"/>
        <w:rPr>
          <w:sz w:val="24"/>
          <w:szCs w:val="24"/>
        </w:rPr>
      </w:pPr>
      <w:r w:rsidRPr="00556AD5">
        <w:rPr>
          <w:sz w:val="24"/>
          <w:szCs w:val="24"/>
        </w:rPr>
        <w:t xml:space="preserve">As </w:t>
      </w:r>
      <w:r w:rsidR="008A4412" w:rsidRPr="00556AD5">
        <w:rPr>
          <w:sz w:val="24"/>
          <w:szCs w:val="24"/>
        </w:rPr>
        <w:t xml:space="preserve">regards conspiracy to defraud, the </w:t>
      </w:r>
      <w:r w:rsidR="00CA7B38">
        <w:rPr>
          <w:sz w:val="24"/>
          <w:szCs w:val="24"/>
        </w:rPr>
        <w:t xml:space="preserve">precise </w:t>
      </w:r>
      <w:r w:rsidR="005A7002" w:rsidRPr="00556AD5">
        <w:rPr>
          <w:sz w:val="24"/>
          <w:szCs w:val="24"/>
        </w:rPr>
        <w:t xml:space="preserve">boundary between criminality </w:t>
      </w:r>
      <w:r w:rsidR="00321BE0" w:rsidRPr="00556AD5">
        <w:rPr>
          <w:sz w:val="24"/>
          <w:szCs w:val="24"/>
        </w:rPr>
        <w:t xml:space="preserve">which includes statutory offences </w:t>
      </w:r>
      <w:r w:rsidR="005A7002" w:rsidRPr="00556AD5">
        <w:rPr>
          <w:sz w:val="24"/>
          <w:szCs w:val="24"/>
        </w:rPr>
        <w:t xml:space="preserve">and </w:t>
      </w:r>
      <w:r w:rsidR="00321BE0" w:rsidRPr="00556AD5">
        <w:rPr>
          <w:sz w:val="24"/>
          <w:szCs w:val="24"/>
        </w:rPr>
        <w:t xml:space="preserve">non-criminal </w:t>
      </w:r>
      <w:r w:rsidR="005A7002" w:rsidRPr="00556AD5">
        <w:rPr>
          <w:sz w:val="24"/>
          <w:szCs w:val="24"/>
        </w:rPr>
        <w:t xml:space="preserve">unlawfulness </w:t>
      </w:r>
      <w:r w:rsidR="00CA7B38">
        <w:rPr>
          <w:sz w:val="24"/>
          <w:szCs w:val="24"/>
        </w:rPr>
        <w:t>is somewhat opaque</w:t>
      </w:r>
      <w:r w:rsidR="005A7002" w:rsidRPr="00556AD5">
        <w:rPr>
          <w:sz w:val="24"/>
          <w:szCs w:val="24"/>
        </w:rPr>
        <w:t xml:space="preserve">.  </w:t>
      </w:r>
      <w:r w:rsidR="00321BE0" w:rsidRPr="00556AD5">
        <w:rPr>
          <w:sz w:val="24"/>
          <w:szCs w:val="24"/>
        </w:rPr>
        <w:t xml:space="preserve"> But it is obvious that (subject to the involvement of two or more persons) conspiracy to defraud must nearly always be considered in a market or corporate setting.  </w:t>
      </w:r>
      <w:r w:rsidR="00FC5F2E" w:rsidRPr="00556AD5">
        <w:rPr>
          <w:sz w:val="24"/>
          <w:szCs w:val="24"/>
        </w:rPr>
        <w:t>The essential issues to be considered in every case are:</w:t>
      </w:r>
    </w:p>
    <w:p w:rsidR="00FC5F2E" w:rsidRPr="00556AD5" w:rsidRDefault="00FC5F2E" w:rsidP="00FC5F2E">
      <w:pPr>
        <w:pStyle w:val="ListParagraph"/>
        <w:rPr>
          <w:sz w:val="24"/>
          <w:szCs w:val="24"/>
        </w:rPr>
      </w:pPr>
    </w:p>
    <w:p w:rsidR="00FC5F2E" w:rsidRDefault="00FC5F2E" w:rsidP="00FC5F2E">
      <w:pPr>
        <w:pStyle w:val="ListParagraph"/>
        <w:numPr>
          <w:ilvl w:val="0"/>
          <w:numId w:val="10"/>
        </w:numPr>
        <w:rPr>
          <w:sz w:val="24"/>
          <w:szCs w:val="24"/>
        </w:rPr>
      </w:pPr>
      <w:r w:rsidRPr="00556AD5">
        <w:rPr>
          <w:sz w:val="24"/>
          <w:szCs w:val="24"/>
        </w:rPr>
        <w:t>Does the object of the alleged agreement constitute a criminal offence of itself: i.e. is this really a statutory conspiracy?</w:t>
      </w:r>
    </w:p>
    <w:p w:rsidR="00CA7B38" w:rsidRPr="00556AD5" w:rsidRDefault="00CA7B38" w:rsidP="00CA7B38">
      <w:pPr>
        <w:pStyle w:val="ListParagraph"/>
        <w:ind w:left="1287"/>
        <w:rPr>
          <w:sz w:val="24"/>
          <w:szCs w:val="24"/>
        </w:rPr>
      </w:pPr>
    </w:p>
    <w:p w:rsidR="00FC5F2E" w:rsidRDefault="00FC5F2E" w:rsidP="00FC5F2E">
      <w:pPr>
        <w:pStyle w:val="ListParagraph"/>
        <w:numPr>
          <w:ilvl w:val="0"/>
          <w:numId w:val="10"/>
        </w:numPr>
        <w:rPr>
          <w:sz w:val="24"/>
          <w:szCs w:val="24"/>
        </w:rPr>
      </w:pPr>
      <w:r w:rsidRPr="00556AD5">
        <w:rPr>
          <w:sz w:val="24"/>
          <w:szCs w:val="24"/>
        </w:rPr>
        <w:t>Do the alleged means used to achieve a lawful objective constitute a criminal offence?</w:t>
      </w:r>
    </w:p>
    <w:p w:rsidR="00CA7B38" w:rsidRPr="00556AD5" w:rsidRDefault="00CA7B38" w:rsidP="00CA7B38">
      <w:pPr>
        <w:pStyle w:val="ListParagraph"/>
        <w:ind w:left="1287"/>
        <w:rPr>
          <w:sz w:val="24"/>
          <w:szCs w:val="24"/>
        </w:rPr>
      </w:pPr>
    </w:p>
    <w:p w:rsidR="00FC5F2E" w:rsidRPr="00556AD5" w:rsidRDefault="00FC5F2E" w:rsidP="00FC5F2E">
      <w:pPr>
        <w:pStyle w:val="ListParagraph"/>
        <w:numPr>
          <w:ilvl w:val="0"/>
          <w:numId w:val="10"/>
        </w:numPr>
        <w:rPr>
          <w:sz w:val="24"/>
          <w:szCs w:val="24"/>
        </w:rPr>
      </w:pPr>
      <w:r w:rsidRPr="00556AD5">
        <w:rPr>
          <w:sz w:val="24"/>
          <w:szCs w:val="24"/>
        </w:rPr>
        <w:t>Are there other means or objectives which the prosecution have not considered of identified?</w:t>
      </w:r>
    </w:p>
    <w:p w:rsidR="00CA7B38" w:rsidRDefault="00CA7B38" w:rsidP="00CA7B38">
      <w:pPr>
        <w:pStyle w:val="ListParagraph"/>
        <w:ind w:left="1287"/>
        <w:rPr>
          <w:sz w:val="24"/>
          <w:szCs w:val="24"/>
        </w:rPr>
      </w:pPr>
    </w:p>
    <w:p w:rsidR="00FC5F2E" w:rsidRPr="00556AD5" w:rsidRDefault="00FC5F2E" w:rsidP="00FC5F2E">
      <w:pPr>
        <w:pStyle w:val="ListParagraph"/>
        <w:numPr>
          <w:ilvl w:val="0"/>
          <w:numId w:val="10"/>
        </w:numPr>
        <w:rPr>
          <w:sz w:val="24"/>
          <w:szCs w:val="24"/>
        </w:rPr>
      </w:pPr>
      <w:r w:rsidRPr="00556AD5">
        <w:rPr>
          <w:sz w:val="24"/>
          <w:szCs w:val="24"/>
        </w:rPr>
        <w:t>Do those other means or objectives themselves constitute criminal offences?</w:t>
      </w:r>
    </w:p>
    <w:p w:rsidR="00CA7B38" w:rsidRDefault="00CA7B38" w:rsidP="00CA7B38">
      <w:pPr>
        <w:pStyle w:val="ListParagraph"/>
        <w:ind w:left="1287"/>
        <w:rPr>
          <w:sz w:val="24"/>
          <w:szCs w:val="24"/>
        </w:rPr>
      </w:pPr>
    </w:p>
    <w:p w:rsidR="00FC5F2E" w:rsidRPr="00556AD5" w:rsidRDefault="00FC5F2E" w:rsidP="00FC5F2E">
      <w:pPr>
        <w:pStyle w:val="ListParagraph"/>
        <w:numPr>
          <w:ilvl w:val="0"/>
          <w:numId w:val="10"/>
        </w:numPr>
        <w:rPr>
          <w:sz w:val="24"/>
          <w:szCs w:val="24"/>
        </w:rPr>
      </w:pPr>
      <w:r w:rsidRPr="00556AD5">
        <w:rPr>
          <w:sz w:val="24"/>
          <w:szCs w:val="24"/>
        </w:rPr>
        <w:t xml:space="preserve">If the objective and acts are </w:t>
      </w:r>
      <w:r w:rsidR="00561C85" w:rsidRPr="00556AD5">
        <w:rPr>
          <w:sz w:val="24"/>
          <w:szCs w:val="24"/>
        </w:rPr>
        <w:t xml:space="preserve">not fraudulent, </w:t>
      </w:r>
      <w:r w:rsidRPr="00556AD5">
        <w:rPr>
          <w:sz w:val="24"/>
          <w:szCs w:val="24"/>
        </w:rPr>
        <w:t xml:space="preserve">are they otherwise unlawful?  </w:t>
      </w:r>
    </w:p>
    <w:p w:rsidR="00FC5F2E" w:rsidRPr="00556AD5" w:rsidRDefault="00FC5F2E" w:rsidP="00FC5F2E">
      <w:pPr>
        <w:pStyle w:val="ListParagraph"/>
        <w:numPr>
          <w:ilvl w:val="1"/>
          <w:numId w:val="10"/>
        </w:numPr>
        <w:rPr>
          <w:sz w:val="24"/>
          <w:szCs w:val="24"/>
        </w:rPr>
      </w:pPr>
      <w:r w:rsidRPr="00556AD5">
        <w:rPr>
          <w:sz w:val="24"/>
          <w:szCs w:val="24"/>
        </w:rPr>
        <w:lastRenderedPageBreak/>
        <w:t>It is probably insufficient if the agreement is merely void or voidable;</w:t>
      </w:r>
    </w:p>
    <w:p w:rsidR="00FC5F2E" w:rsidRPr="00556AD5" w:rsidRDefault="00FC5F2E" w:rsidP="00FC5F2E">
      <w:pPr>
        <w:pStyle w:val="ListParagraph"/>
        <w:numPr>
          <w:ilvl w:val="1"/>
          <w:numId w:val="10"/>
        </w:numPr>
        <w:rPr>
          <w:sz w:val="24"/>
          <w:szCs w:val="24"/>
        </w:rPr>
      </w:pPr>
      <w:r w:rsidRPr="00556AD5">
        <w:rPr>
          <w:sz w:val="24"/>
          <w:szCs w:val="24"/>
        </w:rPr>
        <w:t xml:space="preserve"> </w:t>
      </w:r>
      <w:r w:rsidR="00561C85" w:rsidRPr="00556AD5">
        <w:rPr>
          <w:sz w:val="24"/>
          <w:szCs w:val="24"/>
        </w:rPr>
        <w:t xml:space="preserve">Unlawful means do not have to be fraudulent. Violence, intimidation, or perhaps even the </w:t>
      </w:r>
      <w:r w:rsidR="00561C85" w:rsidRPr="00556AD5">
        <w:rPr>
          <w:rFonts w:cs="Times New Roman"/>
          <w:sz w:val="24"/>
          <w:szCs w:val="24"/>
        </w:rPr>
        <w:t>inducement of a breach of contract may be sufficient.</w:t>
      </w:r>
      <w:r w:rsidR="00561C85" w:rsidRPr="00556AD5">
        <w:rPr>
          <w:rStyle w:val="FootnoteReference"/>
          <w:sz w:val="24"/>
          <w:szCs w:val="24"/>
        </w:rPr>
        <w:t xml:space="preserve"> </w:t>
      </w:r>
      <w:r w:rsidR="00561C85" w:rsidRPr="00556AD5">
        <w:rPr>
          <w:rStyle w:val="FootnoteReference"/>
          <w:sz w:val="24"/>
          <w:szCs w:val="24"/>
        </w:rPr>
        <w:footnoteReference w:id="150"/>
      </w:r>
    </w:p>
    <w:p w:rsidR="008C7C58" w:rsidRDefault="00BE3AFA" w:rsidP="00BE3AFA">
      <w:pPr>
        <w:pStyle w:val="ListParagraph"/>
        <w:numPr>
          <w:ilvl w:val="0"/>
          <w:numId w:val="10"/>
        </w:numPr>
        <w:ind w:left="1276" w:hanging="709"/>
        <w:rPr>
          <w:sz w:val="24"/>
          <w:szCs w:val="24"/>
        </w:rPr>
      </w:pPr>
      <w:r w:rsidRPr="00556AD5">
        <w:rPr>
          <w:sz w:val="24"/>
          <w:szCs w:val="24"/>
        </w:rPr>
        <w:t>Proprietary interest should also be considered. If no proprietary interests were threatened or put at risk, the offence in this form will not lie.</w:t>
      </w:r>
      <w:r w:rsidRPr="00556AD5">
        <w:rPr>
          <w:rStyle w:val="FootnoteReference"/>
          <w:sz w:val="24"/>
          <w:szCs w:val="24"/>
        </w:rPr>
        <w:footnoteReference w:id="151"/>
      </w:r>
      <w:r w:rsidRPr="00556AD5">
        <w:rPr>
          <w:sz w:val="24"/>
          <w:szCs w:val="24"/>
        </w:rPr>
        <w:t xml:space="preserve"> </w:t>
      </w:r>
    </w:p>
    <w:p w:rsidR="00CA7B38" w:rsidRPr="00556AD5" w:rsidRDefault="00CA7B38" w:rsidP="00CA7B38">
      <w:pPr>
        <w:pStyle w:val="ListParagraph"/>
        <w:ind w:left="1276"/>
        <w:rPr>
          <w:sz w:val="24"/>
          <w:szCs w:val="24"/>
        </w:rPr>
      </w:pPr>
    </w:p>
    <w:p w:rsidR="003F094D" w:rsidRPr="00556AD5" w:rsidRDefault="003F094D" w:rsidP="00BE3AFA">
      <w:pPr>
        <w:pStyle w:val="ListParagraph"/>
        <w:numPr>
          <w:ilvl w:val="0"/>
          <w:numId w:val="10"/>
        </w:numPr>
        <w:ind w:left="1276" w:hanging="709"/>
        <w:rPr>
          <w:sz w:val="24"/>
          <w:szCs w:val="24"/>
        </w:rPr>
      </w:pPr>
      <w:r w:rsidRPr="00556AD5">
        <w:rPr>
          <w:sz w:val="24"/>
          <w:szCs w:val="24"/>
        </w:rPr>
        <w:t>If the unlawfulness alleged is non-criminal, does it fall within the historical ambit of the offence?  If not, there are cogent arguments against expanding the ambit of the offence.</w:t>
      </w:r>
      <w:r w:rsidRPr="00556AD5">
        <w:rPr>
          <w:rStyle w:val="FootnoteReference"/>
          <w:sz w:val="24"/>
          <w:szCs w:val="24"/>
        </w:rPr>
        <w:footnoteReference w:id="152"/>
      </w:r>
    </w:p>
    <w:p w:rsidR="008C7C58" w:rsidRPr="00556AD5" w:rsidRDefault="008C7C58" w:rsidP="008C7C58">
      <w:pPr>
        <w:rPr>
          <w:sz w:val="24"/>
          <w:szCs w:val="24"/>
        </w:rPr>
      </w:pPr>
    </w:p>
    <w:p w:rsidR="00561C85" w:rsidRPr="00556AD5" w:rsidRDefault="00561C85" w:rsidP="00561C85">
      <w:pPr>
        <w:rPr>
          <w:sz w:val="24"/>
          <w:szCs w:val="24"/>
        </w:rPr>
      </w:pPr>
    </w:p>
    <w:p w:rsidR="00140BE3" w:rsidRDefault="00140BE3" w:rsidP="00E92070">
      <w:pPr>
        <w:pStyle w:val="ListParagraph"/>
        <w:spacing w:before="240"/>
      </w:pPr>
    </w:p>
    <w:p w:rsidR="007E53F6" w:rsidRDefault="007E53F6" w:rsidP="00E92070">
      <w:pPr>
        <w:pStyle w:val="ListParagraph"/>
        <w:spacing w:before="240"/>
      </w:pPr>
    </w:p>
    <w:p w:rsidR="00CE046B" w:rsidRDefault="00CE046B" w:rsidP="00E92070">
      <w:pPr>
        <w:pStyle w:val="ListParagraph"/>
        <w:spacing w:before="240"/>
        <w:rPr>
          <w:rFonts w:ascii="Arial" w:hAnsi="Arial" w:cs="Arial"/>
          <w:color w:val="000000"/>
          <w:shd w:val="clear" w:color="auto" w:fill="F2F2F2"/>
          <w:vertAlign w:val="superscript"/>
        </w:rPr>
      </w:pPr>
    </w:p>
    <w:p w:rsidR="00C664DD" w:rsidRDefault="00C664DD" w:rsidP="00E92070">
      <w:pPr>
        <w:pStyle w:val="ListParagraph"/>
        <w:spacing w:before="240"/>
      </w:pPr>
    </w:p>
    <w:p w:rsidR="00626365" w:rsidRDefault="00626365" w:rsidP="00E92070">
      <w:pPr>
        <w:pStyle w:val="ListParagraph"/>
        <w:spacing w:before="240"/>
      </w:pPr>
    </w:p>
    <w:p w:rsidR="0046629F" w:rsidRDefault="0046629F" w:rsidP="003D645E">
      <w:pPr>
        <w:pStyle w:val="ListParagraph"/>
        <w:spacing w:before="240"/>
        <w:rPr>
          <w:rStyle w:val="apple-converted-space"/>
          <w:rFonts w:ascii="Arial" w:hAnsi="Arial" w:cs="Arial"/>
          <w:color w:val="252525"/>
          <w:sz w:val="21"/>
          <w:szCs w:val="21"/>
          <w:shd w:val="clear" w:color="auto" w:fill="FFFFFF"/>
        </w:rPr>
      </w:pPr>
    </w:p>
    <w:p w:rsidR="00B152D7" w:rsidRDefault="00B152D7" w:rsidP="00B152D7">
      <w:pPr>
        <w:pStyle w:val="ListParagraph"/>
        <w:spacing w:before="240"/>
      </w:pPr>
    </w:p>
    <w:sectPr w:rsidR="00B15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04" w:rsidRDefault="00657D04" w:rsidP="00CE5282">
      <w:pPr>
        <w:spacing w:after="0" w:line="240" w:lineRule="auto"/>
      </w:pPr>
      <w:r>
        <w:separator/>
      </w:r>
    </w:p>
  </w:endnote>
  <w:endnote w:type="continuationSeparator" w:id="0">
    <w:p w:rsidR="00657D04" w:rsidRDefault="00657D04" w:rsidP="00CE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04" w:rsidRDefault="00657D04" w:rsidP="00CE5282">
      <w:pPr>
        <w:spacing w:after="0" w:line="240" w:lineRule="auto"/>
      </w:pPr>
      <w:r>
        <w:separator/>
      </w:r>
    </w:p>
  </w:footnote>
  <w:footnote w:type="continuationSeparator" w:id="0">
    <w:p w:rsidR="00657D04" w:rsidRDefault="00657D04" w:rsidP="00CE5282">
      <w:pPr>
        <w:spacing w:after="0" w:line="240" w:lineRule="auto"/>
      </w:pPr>
      <w:r>
        <w:continuationSeparator/>
      </w:r>
    </w:p>
  </w:footnote>
  <w:footnote w:id="1">
    <w:p w:rsidR="00BE0CB8" w:rsidRPr="00C41925" w:rsidRDefault="00BE0CB8" w:rsidP="006F4EFB">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For example, in it was alleged that 1986 Guinness was involved the manipulation of the stock market by a share support scheme to inflate its share price to assist in its takeover bid for Distillers (the bid involved a partial share swop). Ernest Saunders, Gerald </w:t>
      </w:r>
      <w:proofErr w:type="spellStart"/>
      <w:r w:rsidRPr="00C41925">
        <w:rPr>
          <w:sz w:val="18"/>
          <w:szCs w:val="18"/>
        </w:rPr>
        <w:t>Ronson</w:t>
      </w:r>
      <w:proofErr w:type="spellEnd"/>
      <w:r w:rsidRPr="00C41925">
        <w:rPr>
          <w:sz w:val="18"/>
          <w:szCs w:val="18"/>
        </w:rPr>
        <w:t xml:space="preserve">, (Sir) Jack Lyons and Anthony </w:t>
      </w:r>
      <w:proofErr w:type="spellStart"/>
      <w:r w:rsidRPr="00C41925">
        <w:rPr>
          <w:sz w:val="18"/>
          <w:szCs w:val="18"/>
        </w:rPr>
        <w:t>Parnes</w:t>
      </w:r>
      <w:proofErr w:type="spellEnd"/>
      <w:r w:rsidRPr="00C41925">
        <w:rPr>
          <w:sz w:val="18"/>
          <w:szCs w:val="18"/>
        </w:rPr>
        <w:t xml:space="preserve"> were convicted of conspiracy to contravene </w:t>
      </w:r>
      <w:proofErr w:type="gramStart"/>
      <w:r w:rsidRPr="00C41925">
        <w:rPr>
          <w:sz w:val="18"/>
          <w:szCs w:val="18"/>
        </w:rPr>
        <w:t>s13(</w:t>
      </w:r>
      <w:proofErr w:type="gramEnd"/>
      <w:r w:rsidRPr="00C41925">
        <w:rPr>
          <w:sz w:val="18"/>
          <w:szCs w:val="18"/>
        </w:rPr>
        <w:t>1)(a)(</w:t>
      </w:r>
      <w:proofErr w:type="spellStart"/>
      <w:r w:rsidRPr="00C41925">
        <w:rPr>
          <w:sz w:val="18"/>
          <w:szCs w:val="18"/>
        </w:rPr>
        <w:t>i</w:t>
      </w:r>
      <w:proofErr w:type="spellEnd"/>
      <w:r w:rsidRPr="00C41925">
        <w:rPr>
          <w:sz w:val="18"/>
          <w:szCs w:val="18"/>
        </w:rPr>
        <w:t xml:space="preserve">) of the </w:t>
      </w:r>
      <w:r w:rsidRPr="00C41925">
        <w:rPr>
          <w:i/>
          <w:sz w:val="18"/>
          <w:szCs w:val="18"/>
        </w:rPr>
        <w:t>Prevention of Fraud (Investments) Act</w:t>
      </w:r>
      <w:r w:rsidRPr="00C41925">
        <w:rPr>
          <w:sz w:val="18"/>
          <w:szCs w:val="18"/>
        </w:rPr>
        <w:t xml:space="preserve"> 1958, false accounting and theft.</w:t>
      </w:r>
    </w:p>
  </w:footnote>
  <w:footnote w:id="2">
    <w:p w:rsidR="00BE0CB8" w:rsidRPr="00C41925" w:rsidRDefault="00BE0CB8" w:rsidP="008516D4">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Rogue traders</w:t>
      </w:r>
      <w:r>
        <w:rPr>
          <w:sz w:val="18"/>
          <w:szCs w:val="18"/>
        </w:rPr>
        <w:t xml:space="preserve"> </w:t>
      </w:r>
      <w:r w:rsidRPr="00C41925">
        <w:rPr>
          <w:sz w:val="18"/>
          <w:szCs w:val="18"/>
        </w:rPr>
        <w:t xml:space="preserve">are usually involved in legitimate trading but are guilty of acting beyond the authorised </w:t>
      </w:r>
      <w:r>
        <w:rPr>
          <w:sz w:val="18"/>
          <w:szCs w:val="18"/>
        </w:rPr>
        <w:t xml:space="preserve">trading </w:t>
      </w:r>
      <w:r w:rsidRPr="00C41925">
        <w:rPr>
          <w:sz w:val="18"/>
          <w:szCs w:val="18"/>
        </w:rPr>
        <w:t>limits imposed by their employers</w:t>
      </w:r>
      <w:r>
        <w:rPr>
          <w:sz w:val="18"/>
          <w:szCs w:val="18"/>
        </w:rPr>
        <w:t xml:space="preserve">: e.g. </w:t>
      </w:r>
      <w:r w:rsidRPr="00C41925">
        <w:rPr>
          <w:sz w:val="18"/>
          <w:szCs w:val="18"/>
        </w:rPr>
        <w:t xml:space="preserve">Nick Leeson (Barings – Nikkei Index Futures -$1.3B loss); </w:t>
      </w:r>
      <w:hyperlink r:id="rId1" w:tooltip="Jérôme Kerviel" w:history="1">
        <w:proofErr w:type="spellStart"/>
        <w:r w:rsidRPr="00C41925">
          <w:rPr>
            <w:sz w:val="18"/>
            <w:szCs w:val="18"/>
          </w:rPr>
          <w:t>Jérôme</w:t>
        </w:r>
        <w:proofErr w:type="spellEnd"/>
        <w:r w:rsidRPr="00C41925">
          <w:rPr>
            <w:sz w:val="18"/>
            <w:szCs w:val="18"/>
          </w:rPr>
          <w:t xml:space="preserve"> </w:t>
        </w:r>
        <w:proofErr w:type="spellStart"/>
        <w:r w:rsidRPr="00C41925">
          <w:rPr>
            <w:sz w:val="18"/>
            <w:szCs w:val="18"/>
          </w:rPr>
          <w:t>Kerviel</w:t>
        </w:r>
        <w:proofErr w:type="spellEnd"/>
      </w:hyperlink>
      <w:r w:rsidRPr="00C41925">
        <w:rPr>
          <w:sz w:val="18"/>
          <w:szCs w:val="18"/>
        </w:rPr>
        <w:t xml:space="preserve"> (</w:t>
      </w:r>
      <w:proofErr w:type="spellStart"/>
      <w:r w:rsidR="001A4D2D">
        <w:fldChar w:fldCharType="begin"/>
      </w:r>
      <w:r w:rsidR="001A4D2D">
        <w:instrText xml:space="preserve"> HYP</w:instrText>
      </w:r>
      <w:r w:rsidR="001A4D2D">
        <w:instrText xml:space="preserve">ERLINK "https://en.wikipedia.org/wiki/Soci%C3%A9t%C3%A9_G%C3%A9n%C3%A9rale" \o "Société Générale" </w:instrText>
      </w:r>
      <w:r w:rsidR="001A4D2D">
        <w:fldChar w:fldCharType="separate"/>
      </w:r>
      <w:r w:rsidRPr="00C41925">
        <w:rPr>
          <w:sz w:val="18"/>
          <w:szCs w:val="18"/>
        </w:rPr>
        <w:t>Société</w:t>
      </w:r>
      <w:proofErr w:type="spellEnd"/>
      <w:r w:rsidRPr="00C41925">
        <w:rPr>
          <w:sz w:val="18"/>
          <w:szCs w:val="18"/>
        </w:rPr>
        <w:t xml:space="preserve"> </w:t>
      </w:r>
      <w:proofErr w:type="spellStart"/>
      <w:r w:rsidRPr="00C41925">
        <w:rPr>
          <w:sz w:val="18"/>
          <w:szCs w:val="18"/>
        </w:rPr>
        <w:t>Générale</w:t>
      </w:r>
      <w:proofErr w:type="spellEnd"/>
      <w:r w:rsidR="001A4D2D">
        <w:rPr>
          <w:sz w:val="18"/>
          <w:szCs w:val="18"/>
        </w:rPr>
        <w:fldChar w:fldCharType="end"/>
      </w:r>
      <w:r w:rsidRPr="00C41925">
        <w:rPr>
          <w:sz w:val="18"/>
          <w:szCs w:val="18"/>
        </w:rPr>
        <w:t xml:space="preserve"> – European Stock Index Futures  -$6.9B loss) ; </w:t>
      </w:r>
      <w:proofErr w:type="spellStart"/>
      <w:r w:rsidRPr="00C41925">
        <w:rPr>
          <w:sz w:val="18"/>
          <w:szCs w:val="18"/>
        </w:rPr>
        <w:t>Kweku</w:t>
      </w:r>
      <w:proofErr w:type="spellEnd"/>
      <w:r w:rsidRPr="00C41925">
        <w:rPr>
          <w:sz w:val="18"/>
          <w:szCs w:val="18"/>
        </w:rPr>
        <w:t xml:space="preserve"> </w:t>
      </w:r>
      <w:proofErr w:type="spellStart"/>
      <w:r w:rsidRPr="00C41925">
        <w:rPr>
          <w:sz w:val="18"/>
          <w:szCs w:val="18"/>
        </w:rPr>
        <w:t>Adoboli</w:t>
      </w:r>
      <w:proofErr w:type="spellEnd"/>
      <w:r w:rsidRPr="00C41925">
        <w:rPr>
          <w:sz w:val="18"/>
          <w:szCs w:val="18"/>
        </w:rPr>
        <w:t xml:space="preserve">, UBS  - S&amp;P 500, DAX and </w:t>
      </w:r>
      <w:proofErr w:type="spellStart"/>
      <w:r w:rsidRPr="00C41925">
        <w:rPr>
          <w:sz w:val="18"/>
          <w:szCs w:val="18"/>
        </w:rPr>
        <w:t>EuroStoxx</w:t>
      </w:r>
      <w:proofErr w:type="spellEnd"/>
      <w:r w:rsidRPr="00C41925">
        <w:rPr>
          <w:sz w:val="18"/>
          <w:szCs w:val="18"/>
        </w:rPr>
        <w:t xml:space="preserve"> Futures - $2.3B loss).</w:t>
      </w:r>
      <w:r>
        <w:rPr>
          <w:sz w:val="18"/>
          <w:szCs w:val="18"/>
        </w:rPr>
        <w:t xml:space="preserve">  Others may try to corner the market: e.g. </w:t>
      </w:r>
      <w:proofErr w:type="spellStart"/>
      <w:r w:rsidRPr="00C41925">
        <w:rPr>
          <w:sz w:val="18"/>
          <w:szCs w:val="18"/>
        </w:rPr>
        <w:t>Yasuo</w:t>
      </w:r>
      <w:proofErr w:type="spellEnd"/>
      <w:r w:rsidRPr="00C41925">
        <w:rPr>
          <w:sz w:val="18"/>
          <w:szCs w:val="18"/>
        </w:rPr>
        <w:t xml:space="preserve"> </w:t>
      </w:r>
      <w:proofErr w:type="spellStart"/>
      <w:r w:rsidRPr="00C41925">
        <w:rPr>
          <w:sz w:val="18"/>
          <w:szCs w:val="18"/>
        </w:rPr>
        <w:t>Hamanaka</w:t>
      </w:r>
      <w:proofErr w:type="spellEnd"/>
      <w:r w:rsidRPr="00C41925">
        <w:rPr>
          <w:sz w:val="18"/>
          <w:szCs w:val="18"/>
        </w:rPr>
        <w:t xml:space="preserve"> aka King Copper lost Sumitomo $1.8B when his attempt to manipulate the price of copper by allegedly attempting to corner or control supplies failed when copper prices fell by one third in two months.</w:t>
      </w:r>
      <w:r>
        <w:rPr>
          <w:sz w:val="18"/>
          <w:szCs w:val="18"/>
        </w:rPr>
        <w:t xml:space="preserve"> </w:t>
      </w:r>
    </w:p>
  </w:footnote>
  <w:footnote w:id="3">
    <w:p w:rsidR="00BE0CB8" w:rsidRPr="00C41925" w:rsidRDefault="00BE0CB8" w:rsidP="006F4EFB">
      <w:pPr>
        <w:pStyle w:val="FootnoteText"/>
        <w:ind w:left="567" w:hanging="567"/>
        <w:rPr>
          <w:sz w:val="18"/>
          <w:szCs w:val="18"/>
        </w:rPr>
      </w:pPr>
      <w:r>
        <w:rPr>
          <w:rStyle w:val="FootnoteReference"/>
        </w:rPr>
        <w:footnoteRef/>
      </w:r>
      <w:r w:rsidRPr="00C41925">
        <w:rPr>
          <w:rStyle w:val="FootnoteReference"/>
          <w:sz w:val="18"/>
          <w:szCs w:val="18"/>
        </w:rPr>
        <w:footnoteRef/>
      </w:r>
      <w:r w:rsidRPr="00C41925">
        <w:rPr>
          <w:sz w:val="18"/>
          <w:szCs w:val="18"/>
        </w:rPr>
        <w:t xml:space="preserve"> </w:t>
      </w:r>
      <w:r w:rsidRPr="00C41925">
        <w:rPr>
          <w:sz w:val="18"/>
          <w:szCs w:val="18"/>
        </w:rPr>
        <w:tab/>
        <w:t>For example, s 9(a</w:t>
      </w:r>
      <w:proofErr w:type="gramStart"/>
      <w:r w:rsidRPr="00C41925">
        <w:rPr>
          <w:sz w:val="18"/>
          <w:szCs w:val="18"/>
        </w:rPr>
        <w:t>)(</w:t>
      </w:r>
      <w:proofErr w:type="gramEnd"/>
      <w:r w:rsidRPr="00C41925">
        <w:rPr>
          <w:sz w:val="18"/>
          <w:szCs w:val="18"/>
        </w:rPr>
        <w:t xml:space="preserve">2) </w:t>
      </w:r>
      <w:r w:rsidRPr="00C41925">
        <w:rPr>
          <w:i/>
          <w:sz w:val="18"/>
          <w:szCs w:val="18"/>
        </w:rPr>
        <w:t>Securities Exchange Act</w:t>
      </w:r>
      <w:r w:rsidRPr="00C41925">
        <w:rPr>
          <w:sz w:val="18"/>
          <w:szCs w:val="18"/>
        </w:rPr>
        <w:t xml:space="preserve"> 1934 [USA]; s54(a) </w:t>
      </w:r>
      <w:r w:rsidRPr="00C41925">
        <w:rPr>
          <w:i/>
          <w:sz w:val="18"/>
          <w:szCs w:val="18"/>
        </w:rPr>
        <w:t>Securities Act</w:t>
      </w:r>
      <w:r w:rsidRPr="00C41925">
        <w:rPr>
          <w:sz w:val="18"/>
          <w:szCs w:val="18"/>
        </w:rPr>
        <w:t xml:space="preserve"> 1968 [Israel]; s104A Corporations Act 2001 [Australia].  With effect from 3 July 2016 the EU updated its rulebook to “The EU announced on 1 July 2016 a revamped legal framework to “strengthen the fight against market abuse across commodity and related derivative markets, explicitly ban the manipulation of benchmarks, such as LIBOR, and reinforce the investigative and sanctioning powers of regulators.” There will be common EU definitions of </w:t>
      </w:r>
      <w:r w:rsidRPr="00C41925">
        <w:rPr>
          <w:color w:val="000000"/>
          <w:sz w:val="18"/>
          <w:szCs w:val="18"/>
          <w:shd w:val="clear" w:color="auto" w:fill="FFFFFF"/>
        </w:rPr>
        <w:t xml:space="preserve">market </w:t>
      </w:r>
      <w:r w:rsidRPr="00C41925">
        <w:rPr>
          <w:sz w:val="18"/>
          <w:szCs w:val="18"/>
        </w:rPr>
        <w:t xml:space="preserve">abuse offences such as insider dealing, unlawful disclosure of information and market manipulation, and member states will have two years to implement the relevant Directive in their national law: see </w:t>
      </w:r>
      <w:hyperlink r:id="rId2" w:history="1">
        <w:r w:rsidRPr="00C41925">
          <w:rPr>
            <w:rStyle w:val="Hyperlink"/>
            <w:sz w:val="18"/>
            <w:szCs w:val="18"/>
          </w:rPr>
          <w:t>http://europa.eu/rapid/press-release_MEMO-14-77_en.htm</w:t>
        </w:r>
      </w:hyperlink>
      <w:r w:rsidRPr="00C41925">
        <w:rPr>
          <w:sz w:val="18"/>
          <w:szCs w:val="18"/>
        </w:rPr>
        <w:t xml:space="preserve">.  For see the Market Abuse Directive 2014/57/EU see </w:t>
      </w:r>
      <w:hyperlink r:id="rId3" w:history="1">
        <w:r w:rsidRPr="00C41925">
          <w:rPr>
            <w:rStyle w:val="Hyperlink"/>
            <w:sz w:val="18"/>
            <w:szCs w:val="18"/>
          </w:rPr>
          <w:t>http://eur-lex.europa.eu/legal-content/EN/TXT/?uri=CELEX:32014L0057</w:t>
        </w:r>
      </w:hyperlink>
      <w:r w:rsidRPr="00C41925">
        <w:rPr>
          <w:sz w:val="18"/>
          <w:szCs w:val="18"/>
        </w:rPr>
        <w:t xml:space="preserve"> </w:t>
      </w:r>
    </w:p>
  </w:footnote>
  <w:footnote w:id="4">
    <w:p w:rsidR="00BE0CB8" w:rsidRPr="004E5D7A" w:rsidRDefault="00BE0CB8" w:rsidP="008516D4">
      <w:pPr>
        <w:pStyle w:val="FootnoteText"/>
        <w:ind w:left="567" w:hanging="567"/>
        <w:rPr>
          <w:sz w:val="18"/>
          <w:szCs w:val="18"/>
        </w:rPr>
      </w:pPr>
      <w:r>
        <w:rPr>
          <w:rStyle w:val="FootnoteReference"/>
        </w:rPr>
        <w:footnoteRef/>
      </w:r>
      <w:r>
        <w:t xml:space="preserve"> </w:t>
      </w:r>
      <w:r>
        <w:tab/>
      </w:r>
      <w:r w:rsidRPr="004E5D7A">
        <w:rPr>
          <w:sz w:val="18"/>
          <w:szCs w:val="18"/>
        </w:rPr>
        <w:t xml:space="preserve">William Faulkner: </w:t>
      </w:r>
      <w:r w:rsidRPr="004E5D7A">
        <w:rPr>
          <w:i/>
          <w:sz w:val="18"/>
          <w:szCs w:val="18"/>
        </w:rPr>
        <w:t>Requiem for a Nun.</w:t>
      </w:r>
    </w:p>
  </w:footnote>
  <w:footnote w:id="5">
    <w:p w:rsidR="00BE0CB8" w:rsidRPr="004E5D7A" w:rsidRDefault="00BE0CB8" w:rsidP="005056F7">
      <w:pPr>
        <w:pStyle w:val="FootnoteText"/>
        <w:ind w:left="567" w:hanging="567"/>
        <w:rPr>
          <w:sz w:val="18"/>
          <w:szCs w:val="18"/>
        </w:rPr>
      </w:pPr>
      <w:r w:rsidRPr="004E5D7A">
        <w:rPr>
          <w:rStyle w:val="FootnoteReference"/>
          <w:sz w:val="18"/>
          <w:szCs w:val="18"/>
        </w:rPr>
        <w:footnoteRef/>
      </w:r>
      <w:r w:rsidRPr="004E5D7A">
        <w:rPr>
          <w:sz w:val="18"/>
          <w:szCs w:val="18"/>
        </w:rPr>
        <w:t xml:space="preserve"> </w:t>
      </w:r>
      <w:r w:rsidRPr="004E5D7A">
        <w:rPr>
          <w:sz w:val="18"/>
          <w:szCs w:val="18"/>
        </w:rPr>
        <w:tab/>
      </w:r>
      <w:r w:rsidRPr="004E5D7A">
        <w:rPr>
          <w:i/>
          <w:sz w:val="18"/>
          <w:szCs w:val="18"/>
        </w:rPr>
        <w:t>Digest of Justinian</w:t>
      </w:r>
      <w:r w:rsidRPr="004E5D7A">
        <w:rPr>
          <w:sz w:val="18"/>
          <w:szCs w:val="18"/>
        </w:rPr>
        <w:t>: Dig x48. 12</w:t>
      </w:r>
      <w:proofErr w:type="gramStart"/>
      <w:r w:rsidRPr="004E5D7A">
        <w:rPr>
          <w:sz w:val="18"/>
          <w:szCs w:val="18"/>
        </w:rPr>
        <w:t>;  Colquhoun</w:t>
      </w:r>
      <w:proofErr w:type="gramEnd"/>
      <w:r w:rsidRPr="004E5D7A">
        <w:rPr>
          <w:sz w:val="18"/>
          <w:szCs w:val="18"/>
        </w:rPr>
        <w:t xml:space="preserve">: </w:t>
      </w:r>
      <w:r w:rsidRPr="004E5D7A">
        <w:rPr>
          <w:i/>
          <w:sz w:val="18"/>
          <w:szCs w:val="18"/>
        </w:rPr>
        <w:t>Roman Civil Law</w:t>
      </w:r>
      <w:r w:rsidRPr="004E5D7A">
        <w:rPr>
          <w:sz w:val="18"/>
          <w:szCs w:val="18"/>
        </w:rPr>
        <w:t xml:space="preserve"> Vol 111 §2409Stephen:  </w:t>
      </w:r>
      <w:r w:rsidRPr="004E5D7A">
        <w:rPr>
          <w:i/>
          <w:sz w:val="18"/>
          <w:szCs w:val="18"/>
        </w:rPr>
        <w:t>History of the Criminal Law of England</w:t>
      </w:r>
      <w:r w:rsidRPr="004E5D7A">
        <w:rPr>
          <w:sz w:val="18"/>
          <w:szCs w:val="18"/>
        </w:rPr>
        <w:t xml:space="preserve"> (Macmillan 1883) Vol 1, 22. </w:t>
      </w:r>
    </w:p>
  </w:footnote>
  <w:footnote w:id="6">
    <w:p w:rsidR="00BE0CB8" w:rsidRPr="008E3C9A" w:rsidRDefault="00BE0CB8" w:rsidP="008E3C9A">
      <w:pPr>
        <w:pStyle w:val="FootnoteText"/>
        <w:ind w:left="567" w:hanging="567"/>
        <w:rPr>
          <w:sz w:val="18"/>
          <w:szCs w:val="18"/>
        </w:rPr>
      </w:pPr>
      <w:r>
        <w:rPr>
          <w:rStyle w:val="FootnoteReference"/>
        </w:rPr>
        <w:footnoteRef/>
      </w:r>
      <w:r>
        <w:t xml:space="preserve"> </w:t>
      </w:r>
      <w:r>
        <w:tab/>
      </w:r>
      <w:r w:rsidRPr="00CC751B">
        <w:rPr>
          <w:sz w:val="18"/>
        </w:rPr>
        <w:t xml:space="preserve">It </w:t>
      </w:r>
      <w:r w:rsidRPr="008E3C9A">
        <w:rPr>
          <w:sz w:val="18"/>
          <w:szCs w:val="18"/>
        </w:rPr>
        <w:t xml:space="preserve">proved ineffective and was abolished </w:t>
      </w:r>
      <w:r w:rsidR="003E21F3">
        <w:rPr>
          <w:sz w:val="18"/>
          <w:szCs w:val="18"/>
        </w:rPr>
        <w:t>after</w:t>
      </w:r>
      <w:r w:rsidRPr="008E3C9A">
        <w:rPr>
          <w:sz w:val="18"/>
          <w:szCs w:val="18"/>
        </w:rPr>
        <w:t xml:space="preserve"> </w:t>
      </w:r>
      <w:proofErr w:type="gramStart"/>
      <w:r w:rsidRPr="008E3C9A">
        <w:rPr>
          <w:sz w:val="18"/>
          <w:szCs w:val="18"/>
        </w:rPr>
        <w:t>his own</w:t>
      </w:r>
      <w:proofErr w:type="gramEnd"/>
      <w:r w:rsidRPr="008E3C9A">
        <w:rPr>
          <w:sz w:val="18"/>
          <w:szCs w:val="18"/>
        </w:rPr>
        <w:t xml:space="preserve"> death.</w:t>
      </w:r>
    </w:p>
  </w:footnote>
  <w:footnote w:id="7">
    <w:p w:rsidR="008E3C9A" w:rsidRPr="008E3C9A" w:rsidRDefault="008E3C9A" w:rsidP="008E3C9A">
      <w:pPr>
        <w:pStyle w:val="ListParagraph"/>
        <w:spacing w:after="0"/>
        <w:ind w:left="567" w:hanging="567"/>
        <w:rPr>
          <w:rFonts w:cs="Arial"/>
          <w:color w:val="252525"/>
          <w:sz w:val="18"/>
          <w:szCs w:val="18"/>
          <w:shd w:val="clear" w:color="auto" w:fill="FFFFFF"/>
        </w:rPr>
      </w:pPr>
      <w:r w:rsidRPr="008E3C9A">
        <w:rPr>
          <w:rStyle w:val="FootnoteReference"/>
          <w:sz w:val="18"/>
          <w:szCs w:val="18"/>
        </w:rPr>
        <w:footnoteRef/>
      </w:r>
      <w:r w:rsidRPr="008E3C9A">
        <w:rPr>
          <w:sz w:val="18"/>
          <w:szCs w:val="18"/>
        </w:rPr>
        <w:t xml:space="preserve"> </w:t>
      </w:r>
      <w:r w:rsidRPr="008E3C9A">
        <w:rPr>
          <w:sz w:val="18"/>
          <w:szCs w:val="18"/>
        </w:rPr>
        <w:tab/>
      </w:r>
      <w:r w:rsidRPr="008E3C9A">
        <w:rPr>
          <w:rFonts w:cs="Arial"/>
          <w:color w:val="252525"/>
          <w:sz w:val="18"/>
          <w:szCs w:val="18"/>
          <w:shd w:val="clear" w:color="auto" w:fill="FFFFFF"/>
        </w:rPr>
        <w:t xml:space="preserve">Wilberforce </w:t>
      </w:r>
      <w:r w:rsidRPr="008E3C9A">
        <w:rPr>
          <w:rFonts w:cs="Arial"/>
          <w:i/>
          <w:iCs/>
          <w:color w:val="252525"/>
          <w:sz w:val="18"/>
          <w:szCs w:val="18"/>
          <w:shd w:val="clear" w:color="auto" w:fill="FFFFFF"/>
        </w:rPr>
        <w:t>The Law of Restrictive Practices and Monopolies</w:t>
      </w:r>
      <w:r w:rsidRPr="008E3C9A">
        <w:rPr>
          <w:rStyle w:val="apple-converted-space"/>
          <w:rFonts w:cs="Arial"/>
          <w:color w:val="252525"/>
          <w:sz w:val="18"/>
          <w:szCs w:val="18"/>
          <w:shd w:val="clear" w:color="auto" w:fill="FFFFFF"/>
        </w:rPr>
        <w:t> </w:t>
      </w:r>
      <w:r w:rsidRPr="008E3C9A">
        <w:rPr>
          <w:rFonts w:cs="Arial"/>
          <w:color w:val="252525"/>
          <w:sz w:val="18"/>
          <w:szCs w:val="18"/>
          <w:shd w:val="clear" w:color="auto" w:fill="FFFFFF"/>
        </w:rPr>
        <w:t>(Sweet and Maxwell 1966) (1966) p.20</w:t>
      </w:r>
    </w:p>
  </w:footnote>
  <w:footnote w:id="8">
    <w:p w:rsidR="00BE0CB8" w:rsidRPr="004E5D7A" w:rsidRDefault="00BE0CB8" w:rsidP="008E3C9A">
      <w:pPr>
        <w:pStyle w:val="FootnoteText"/>
        <w:ind w:left="567" w:hanging="567"/>
        <w:rPr>
          <w:sz w:val="18"/>
          <w:szCs w:val="18"/>
        </w:rPr>
      </w:pPr>
      <w:r w:rsidRPr="008E3C9A">
        <w:rPr>
          <w:rStyle w:val="FootnoteReference"/>
          <w:sz w:val="18"/>
          <w:szCs w:val="18"/>
        </w:rPr>
        <w:footnoteRef/>
      </w:r>
      <w:r w:rsidRPr="008E3C9A">
        <w:rPr>
          <w:sz w:val="18"/>
          <w:szCs w:val="18"/>
        </w:rPr>
        <w:t xml:space="preserve"> </w:t>
      </w:r>
      <w:r w:rsidRPr="008E3C9A">
        <w:rPr>
          <w:sz w:val="18"/>
          <w:szCs w:val="18"/>
        </w:rPr>
        <w:tab/>
        <w:t>UNFAO,</w:t>
      </w:r>
      <w:r w:rsidRPr="004E5D7A">
        <w:rPr>
          <w:sz w:val="18"/>
          <w:szCs w:val="18"/>
        </w:rPr>
        <w:t xml:space="preserve"> </w:t>
      </w:r>
      <w:r w:rsidRPr="004E5D7A">
        <w:rPr>
          <w:i/>
          <w:sz w:val="18"/>
          <w:szCs w:val="18"/>
        </w:rPr>
        <w:t xml:space="preserve">Safeguarding Food Security in Volatile Global Markets </w:t>
      </w:r>
      <w:r w:rsidRPr="004E5D7A">
        <w:rPr>
          <w:sz w:val="18"/>
          <w:szCs w:val="18"/>
        </w:rPr>
        <w:t>(</w:t>
      </w:r>
      <w:proofErr w:type="spellStart"/>
      <w:r w:rsidRPr="004E5D7A">
        <w:rPr>
          <w:sz w:val="18"/>
          <w:szCs w:val="18"/>
        </w:rPr>
        <w:t>ed</w:t>
      </w:r>
      <w:proofErr w:type="spellEnd"/>
      <w:r w:rsidRPr="004E5D7A">
        <w:rPr>
          <w:sz w:val="18"/>
          <w:szCs w:val="18"/>
        </w:rPr>
        <w:t xml:space="preserve"> Prakash) pp 255-256 - </w:t>
      </w:r>
      <w:hyperlink r:id="rId4" w:history="1">
        <w:r w:rsidRPr="006E39BE">
          <w:rPr>
            <w:rStyle w:val="Hyperlink"/>
            <w:sz w:val="18"/>
            <w:szCs w:val="18"/>
          </w:rPr>
          <w:t>http://www.fao.org/docrep/013/i2107e/i2107e.pdf</w:t>
        </w:r>
      </w:hyperlink>
      <w:r>
        <w:rPr>
          <w:sz w:val="18"/>
          <w:szCs w:val="18"/>
        </w:rPr>
        <w:t xml:space="preserve"> </w:t>
      </w:r>
    </w:p>
  </w:footnote>
  <w:footnote w:id="9">
    <w:p w:rsidR="00BE0CB8" w:rsidRPr="003F7710" w:rsidRDefault="00BE0CB8" w:rsidP="00883BE1">
      <w:pPr>
        <w:pStyle w:val="FootnoteText"/>
        <w:ind w:left="567" w:hanging="567"/>
        <w:rPr>
          <w:sz w:val="18"/>
          <w:szCs w:val="18"/>
        </w:rPr>
      </w:pPr>
      <w:r>
        <w:rPr>
          <w:rStyle w:val="FootnoteReference"/>
        </w:rPr>
        <w:footnoteRef/>
      </w:r>
      <w:r>
        <w:t xml:space="preserve"> </w:t>
      </w:r>
      <w:r>
        <w:tab/>
      </w:r>
      <w:proofErr w:type="spellStart"/>
      <w:r w:rsidRPr="003F7710">
        <w:rPr>
          <w:sz w:val="18"/>
          <w:szCs w:val="18"/>
        </w:rPr>
        <w:t>Dowdell</w:t>
      </w:r>
      <w:proofErr w:type="spellEnd"/>
      <w:r w:rsidRPr="003F7710">
        <w:rPr>
          <w:sz w:val="18"/>
          <w:szCs w:val="18"/>
        </w:rPr>
        <w:t xml:space="preserve">: </w:t>
      </w:r>
      <w:r w:rsidRPr="003F7710">
        <w:rPr>
          <w:i/>
          <w:sz w:val="18"/>
          <w:szCs w:val="18"/>
        </w:rPr>
        <w:t xml:space="preserve">A Hundred Years of Quarter Sessions: The Government of Middlesex from 1660 to 1760 </w:t>
      </w:r>
      <w:r w:rsidRPr="003F7710">
        <w:rPr>
          <w:sz w:val="18"/>
          <w:szCs w:val="18"/>
        </w:rPr>
        <w:t xml:space="preserve">Cambridge 1932 (2013  </w:t>
      </w:r>
      <w:proofErr w:type="spellStart"/>
      <w:r w:rsidRPr="003F7710">
        <w:rPr>
          <w:sz w:val="18"/>
          <w:szCs w:val="18"/>
        </w:rPr>
        <w:t>ed</w:t>
      </w:r>
      <w:proofErr w:type="spellEnd"/>
      <w:r w:rsidRPr="003F7710">
        <w:rPr>
          <w:sz w:val="18"/>
          <w:szCs w:val="18"/>
        </w:rPr>
        <w:t>)  165</w:t>
      </w:r>
    </w:p>
  </w:footnote>
  <w:footnote w:id="10">
    <w:p w:rsidR="00BE0CB8" w:rsidRDefault="00BE0CB8" w:rsidP="009D1E06">
      <w:pPr>
        <w:autoSpaceDE w:val="0"/>
        <w:autoSpaceDN w:val="0"/>
        <w:adjustRightInd w:val="0"/>
        <w:spacing w:after="0" w:line="240" w:lineRule="auto"/>
        <w:ind w:left="567" w:hanging="567"/>
      </w:pPr>
      <w:r>
        <w:rPr>
          <w:rStyle w:val="FootnoteReference"/>
        </w:rPr>
        <w:footnoteRef/>
      </w:r>
      <w:r>
        <w:t xml:space="preserve"> </w:t>
      </w:r>
      <w:r w:rsidRPr="009D1E06">
        <w:rPr>
          <w:sz w:val="18"/>
          <w:szCs w:val="18"/>
        </w:rPr>
        <w:tab/>
        <w:t>The dea</w:t>
      </w:r>
      <w:r>
        <w:rPr>
          <w:sz w:val="18"/>
          <w:szCs w:val="18"/>
        </w:rPr>
        <w:t>th pe</w:t>
      </w:r>
      <w:r w:rsidRPr="009D1E06">
        <w:rPr>
          <w:sz w:val="18"/>
          <w:szCs w:val="18"/>
        </w:rPr>
        <w:t>n</w:t>
      </w:r>
      <w:r>
        <w:rPr>
          <w:sz w:val="18"/>
          <w:szCs w:val="18"/>
        </w:rPr>
        <w:t>al</w:t>
      </w:r>
      <w:r w:rsidRPr="009D1E06">
        <w:rPr>
          <w:sz w:val="18"/>
          <w:szCs w:val="18"/>
        </w:rPr>
        <w:t xml:space="preserve">ty was introduced in 1350 (27 Edw. III c.11) and repealed 10 years later (38 Edw. III c.6): see Illingworth:  </w:t>
      </w:r>
      <w:r w:rsidRPr="009D1E06">
        <w:rPr>
          <w:rFonts w:ascii="Calibri" w:hAnsi="Calibri" w:cs="Times New Roman"/>
          <w:i/>
          <w:iCs/>
          <w:color w:val="2D2D2D"/>
          <w:sz w:val="18"/>
          <w:szCs w:val="18"/>
        </w:rPr>
        <w:t xml:space="preserve">An </w:t>
      </w:r>
      <w:r w:rsidRPr="009D1E06">
        <w:rPr>
          <w:rFonts w:ascii="Calibri" w:hAnsi="Calibri" w:cs="Times New Roman"/>
          <w:i/>
          <w:iCs/>
          <w:color w:val="1E1E1E"/>
          <w:sz w:val="18"/>
          <w:szCs w:val="18"/>
        </w:rPr>
        <w:t xml:space="preserve">Inquiry into the </w:t>
      </w:r>
      <w:r w:rsidRPr="009D1E06">
        <w:rPr>
          <w:rFonts w:ascii="Calibri" w:hAnsi="Calibri" w:cs="Times New Roman"/>
          <w:i/>
          <w:iCs/>
          <w:color w:val="2D2D2D"/>
          <w:sz w:val="18"/>
          <w:szCs w:val="18"/>
        </w:rPr>
        <w:t xml:space="preserve">Laws </w:t>
      </w:r>
      <w:r w:rsidRPr="009D1E06">
        <w:rPr>
          <w:rFonts w:ascii="Calibri" w:hAnsi="Calibri" w:cs="Times New Roman"/>
          <w:i/>
          <w:iCs/>
          <w:color w:val="3E3E3E"/>
          <w:sz w:val="18"/>
          <w:szCs w:val="18"/>
        </w:rPr>
        <w:t>A</w:t>
      </w:r>
      <w:r w:rsidRPr="009D1E06">
        <w:rPr>
          <w:rFonts w:ascii="Calibri" w:hAnsi="Calibri" w:cs="Times New Roman"/>
          <w:i/>
          <w:iCs/>
          <w:color w:val="1E1E1E"/>
          <w:sz w:val="18"/>
          <w:szCs w:val="18"/>
        </w:rPr>
        <w:t xml:space="preserve">ncient and Modern respecting Forestalling, </w:t>
      </w:r>
      <w:proofErr w:type="spellStart"/>
      <w:r w:rsidRPr="009D1E06">
        <w:rPr>
          <w:rFonts w:ascii="Calibri" w:hAnsi="Calibri" w:cs="Times New Roman"/>
          <w:i/>
          <w:iCs/>
          <w:color w:val="1E1E1E"/>
          <w:sz w:val="18"/>
          <w:szCs w:val="18"/>
        </w:rPr>
        <w:t>Regrating</w:t>
      </w:r>
      <w:proofErr w:type="spellEnd"/>
      <w:r w:rsidRPr="009D1E06">
        <w:rPr>
          <w:rFonts w:ascii="Calibri" w:hAnsi="Calibri" w:cs="Times New Roman"/>
          <w:i/>
          <w:iCs/>
          <w:color w:val="1E1E1E"/>
          <w:sz w:val="18"/>
          <w:szCs w:val="18"/>
        </w:rPr>
        <w:t xml:space="preserve"> and </w:t>
      </w:r>
      <w:proofErr w:type="spellStart"/>
      <w:r w:rsidRPr="009D1E06">
        <w:rPr>
          <w:rFonts w:ascii="Calibri" w:hAnsi="Calibri" w:cs="Times New Roman"/>
          <w:i/>
          <w:iCs/>
          <w:color w:val="1E1E1E"/>
          <w:sz w:val="18"/>
          <w:szCs w:val="18"/>
        </w:rPr>
        <w:t>lngrossing</w:t>
      </w:r>
      <w:proofErr w:type="spellEnd"/>
      <w:r w:rsidRPr="009D1E06">
        <w:rPr>
          <w:rFonts w:ascii="Calibri" w:hAnsi="Calibri" w:cs="Times New Roman"/>
          <w:i/>
          <w:iCs/>
          <w:color w:val="1E1E1E"/>
          <w:sz w:val="18"/>
          <w:szCs w:val="18"/>
        </w:rPr>
        <w:t xml:space="preserve"> </w:t>
      </w:r>
      <w:r w:rsidRPr="009D1E06">
        <w:rPr>
          <w:rFonts w:ascii="Calibri" w:hAnsi="Calibri" w:cs="Times New Roman"/>
          <w:color w:val="2D2D2D"/>
          <w:sz w:val="18"/>
          <w:szCs w:val="18"/>
        </w:rPr>
        <w:t xml:space="preserve">(London, 1800), pp. 37-38.  There is no evidence that </w:t>
      </w:r>
      <w:r>
        <w:rPr>
          <w:rFonts w:ascii="Calibri" w:hAnsi="Calibri" w:cs="Times New Roman"/>
          <w:color w:val="2D2D2D"/>
          <w:sz w:val="18"/>
          <w:szCs w:val="18"/>
        </w:rPr>
        <w:t xml:space="preserve">it </w:t>
      </w:r>
      <w:r w:rsidRPr="009D1E06">
        <w:rPr>
          <w:rFonts w:ascii="Calibri" w:hAnsi="Calibri" w:cs="Times New Roman"/>
          <w:color w:val="2D2D2D"/>
          <w:sz w:val="18"/>
          <w:szCs w:val="18"/>
        </w:rPr>
        <w:t>was ever imposed.</w:t>
      </w:r>
    </w:p>
  </w:footnote>
  <w:footnote w:id="11">
    <w:p w:rsidR="00BE0CB8" w:rsidRDefault="00BE0CB8" w:rsidP="00883BE1">
      <w:pPr>
        <w:pStyle w:val="FootnoteText"/>
        <w:ind w:left="567" w:hanging="567"/>
      </w:pPr>
      <w:r>
        <w:rPr>
          <w:rStyle w:val="FootnoteReference"/>
        </w:rPr>
        <w:footnoteRef/>
      </w:r>
      <w:r>
        <w:t xml:space="preserve"> </w:t>
      </w:r>
      <w:r>
        <w:tab/>
      </w:r>
      <w:r w:rsidRPr="009B60E4">
        <w:rPr>
          <w:sz w:val="18"/>
          <w:szCs w:val="18"/>
        </w:rPr>
        <w:t xml:space="preserve">Other forms of control such as the issue of licences for badgers (those </w:t>
      </w:r>
      <w:r>
        <w:rPr>
          <w:sz w:val="18"/>
          <w:szCs w:val="18"/>
        </w:rPr>
        <w:t>who purchased victuals in one market and sold in another) and chapmen (itinerant pedlars) and local controls of hucksters and hawkers are outside the scope of this paper.</w:t>
      </w:r>
    </w:p>
  </w:footnote>
  <w:footnote w:id="12">
    <w:p w:rsidR="00BE0CB8" w:rsidRPr="00CC751B" w:rsidRDefault="00BE0CB8" w:rsidP="00EA012A">
      <w:pPr>
        <w:pStyle w:val="FootnoteText"/>
        <w:ind w:left="567" w:hanging="567"/>
        <w:rPr>
          <w:sz w:val="18"/>
        </w:rPr>
      </w:pPr>
      <w:r>
        <w:rPr>
          <w:rStyle w:val="FootnoteReference"/>
        </w:rPr>
        <w:footnoteRef/>
      </w:r>
      <w:r>
        <w:t xml:space="preserve"> </w:t>
      </w:r>
      <w:r>
        <w:tab/>
      </w:r>
      <w:proofErr w:type="spellStart"/>
      <w:r w:rsidRPr="00CC751B">
        <w:rPr>
          <w:sz w:val="18"/>
        </w:rPr>
        <w:t>Seabourne</w:t>
      </w:r>
      <w:proofErr w:type="spellEnd"/>
      <w:r w:rsidRPr="00CC751B">
        <w:rPr>
          <w:sz w:val="18"/>
        </w:rPr>
        <w:t xml:space="preserve">: </w:t>
      </w:r>
      <w:r w:rsidRPr="00CC751B">
        <w:rPr>
          <w:i/>
          <w:sz w:val="18"/>
        </w:rPr>
        <w:t>Royal Regulation of Loans and Sales in Mediaeval England</w:t>
      </w:r>
      <w:r w:rsidRPr="00CC751B">
        <w:rPr>
          <w:sz w:val="18"/>
        </w:rPr>
        <w:t xml:space="preserve">: </w:t>
      </w:r>
      <w:r w:rsidRPr="00CC751B">
        <w:rPr>
          <w:i/>
          <w:sz w:val="18"/>
        </w:rPr>
        <w:t>(</w:t>
      </w:r>
      <w:proofErr w:type="spellStart"/>
      <w:r w:rsidRPr="00CC751B">
        <w:rPr>
          <w:sz w:val="18"/>
        </w:rPr>
        <w:t>Boydell</w:t>
      </w:r>
      <w:proofErr w:type="spellEnd"/>
      <w:r w:rsidRPr="00CC751B">
        <w:rPr>
          <w:sz w:val="18"/>
        </w:rPr>
        <w:t xml:space="preserve"> 2003) pp 125 et seq.</w:t>
      </w:r>
    </w:p>
  </w:footnote>
  <w:footnote w:id="13">
    <w:p w:rsidR="00BE0CB8" w:rsidRDefault="00BE0CB8" w:rsidP="00EA012A">
      <w:pPr>
        <w:pStyle w:val="FootnoteText"/>
        <w:ind w:left="567" w:hanging="567"/>
      </w:pPr>
      <w:r w:rsidRPr="00CC751B">
        <w:rPr>
          <w:rStyle w:val="FootnoteReference"/>
          <w:sz w:val="18"/>
        </w:rPr>
        <w:footnoteRef/>
      </w:r>
      <w:r w:rsidRPr="00CC751B">
        <w:rPr>
          <w:sz w:val="18"/>
        </w:rPr>
        <w:t xml:space="preserve"> </w:t>
      </w:r>
      <w:r w:rsidRPr="00CC751B">
        <w:rPr>
          <w:sz w:val="18"/>
        </w:rPr>
        <w:tab/>
      </w:r>
      <w:r w:rsidRPr="00CC751B">
        <w:rPr>
          <w:i/>
          <w:sz w:val="18"/>
        </w:rPr>
        <w:t>Ibid.</w:t>
      </w:r>
    </w:p>
  </w:footnote>
  <w:footnote w:id="14">
    <w:p w:rsidR="00BE0CB8" w:rsidRPr="00C41925" w:rsidRDefault="00BE0CB8" w:rsidP="00EA012A">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w:t>
      </w:r>
      <w:r w:rsidRPr="00C41925">
        <w:rPr>
          <w:i/>
          <w:sz w:val="18"/>
          <w:szCs w:val="18"/>
        </w:rPr>
        <w:t>'</w:t>
      </w:r>
      <w:proofErr w:type="spellStart"/>
      <w:r w:rsidRPr="00C41925">
        <w:rPr>
          <w:i/>
          <w:sz w:val="18"/>
          <w:szCs w:val="18"/>
        </w:rPr>
        <w:t>Ingrosser</w:t>
      </w:r>
      <w:proofErr w:type="spellEnd"/>
      <w:r w:rsidRPr="00C41925">
        <w:rPr>
          <w:i/>
          <w:sz w:val="18"/>
          <w:szCs w:val="18"/>
        </w:rPr>
        <w:t>' comes of the French word '</w:t>
      </w:r>
      <w:proofErr w:type="spellStart"/>
      <w:r w:rsidRPr="00C41925">
        <w:rPr>
          <w:i/>
          <w:sz w:val="18"/>
          <w:szCs w:val="18"/>
        </w:rPr>
        <w:t>grosier</w:t>
      </w:r>
      <w:proofErr w:type="spellEnd"/>
      <w:r w:rsidRPr="00C41925">
        <w:rPr>
          <w:i/>
          <w:sz w:val="18"/>
          <w:szCs w:val="18"/>
        </w:rPr>
        <w:t xml:space="preserve">', one that </w:t>
      </w:r>
      <w:proofErr w:type="spellStart"/>
      <w:r w:rsidRPr="00C41925">
        <w:rPr>
          <w:i/>
          <w:sz w:val="18"/>
          <w:szCs w:val="18"/>
        </w:rPr>
        <w:t>selleth</w:t>
      </w:r>
      <w:proofErr w:type="spellEnd"/>
      <w:r w:rsidRPr="00C41925">
        <w:rPr>
          <w:i/>
          <w:sz w:val="18"/>
          <w:szCs w:val="18"/>
        </w:rPr>
        <w:t xml:space="preserve"> by whole sale. But in our law an </w:t>
      </w:r>
      <w:proofErr w:type="spellStart"/>
      <w:r w:rsidRPr="00C41925">
        <w:rPr>
          <w:i/>
          <w:sz w:val="18"/>
          <w:szCs w:val="18"/>
        </w:rPr>
        <w:t>ingrosser</w:t>
      </w:r>
      <w:proofErr w:type="spellEnd"/>
      <w:r w:rsidRPr="00C41925">
        <w:rPr>
          <w:i/>
          <w:sz w:val="18"/>
          <w:szCs w:val="18"/>
        </w:rPr>
        <w:t xml:space="preserve"> is one that </w:t>
      </w:r>
      <w:proofErr w:type="spellStart"/>
      <w:r w:rsidRPr="00C41925">
        <w:rPr>
          <w:i/>
          <w:sz w:val="18"/>
          <w:szCs w:val="18"/>
        </w:rPr>
        <w:t>buyeth</w:t>
      </w:r>
      <w:proofErr w:type="spellEnd"/>
      <w:r w:rsidRPr="00C41925">
        <w:rPr>
          <w:i/>
          <w:sz w:val="18"/>
          <w:szCs w:val="18"/>
        </w:rPr>
        <w:t xml:space="preserve"> </w:t>
      </w:r>
      <w:proofErr w:type="spellStart"/>
      <w:r w:rsidRPr="00C41925">
        <w:rPr>
          <w:i/>
          <w:sz w:val="18"/>
          <w:szCs w:val="18"/>
        </w:rPr>
        <w:t>corne</w:t>
      </w:r>
      <w:proofErr w:type="spellEnd"/>
      <w:r w:rsidRPr="00C41925">
        <w:rPr>
          <w:i/>
          <w:sz w:val="18"/>
          <w:szCs w:val="18"/>
        </w:rPr>
        <w:t xml:space="preserve">, </w:t>
      </w:r>
      <w:proofErr w:type="spellStart"/>
      <w:r w:rsidRPr="00C41925">
        <w:rPr>
          <w:i/>
          <w:sz w:val="18"/>
          <w:szCs w:val="18"/>
        </w:rPr>
        <w:t>graine</w:t>
      </w:r>
      <w:proofErr w:type="spellEnd"/>
      <w:r w:rsidRPr="00C41925">
        <w:rPr>
          <w:i/>
          <w:sz w:val="18"/>
          <w:szCs w:val="18"/>
        </w:rPr>
        <w:t xml:space="preserve">, butter, cheese, fish, or other dead victuals, with an intent to sell the same </w:t>
      </w:r>
      <w:proofErr w:type="spellStart"/>
      <w:r w:rsidRPr="00C41925">
        <w:rPr>
          <w:i/>
          <w:sz w:val="18"/>
          <w:szCs w:val="18"/>
        </w:rPr>
        <w:t>againe</w:t>
      </w:r>
      <w:proofErr w:type="spellEnd"/>
      <w:r w:rsidRPr="00C41925">
        <w:rPr>
          <w:i/>
          <w:sz w:val="18"/>
          <w:szCs w:val="18"/>
        </w:rPr>
        <w:t xml:space="preserve">; and so he is defined in 5 Edw. 6, c. 14, made against such </w:t>
      </w:r>
      <w:proofErr w:type="spellStart"/>
      <w:r w:rsidRPr="00C41925">
        <w:rPr>
          <w:i/>
          <w:sz w:val="18"/>
          <w:szCs w:val="18"/>
        </w:rPr>
        <w:t>ingrossing</w:t>
      </w:r>
      <w:proofErr w:type="spellEnd"/>
      <w:r w:rsidRPr="00C41925">
        <w:rPr>
          <w:sz w:val="18"/>
          <w:szCs w:val="18"/>
        </w:rPr>
        <w:t xml:space="preserve">" </w:t>
      </w:r>
      <w:r w:rsidRPr="00C41925">
        <w:rPr>
          <w:i/>
          <w:sz w:val="18"/>
          <w:szCs w:val="18"/>
        </w:rPr>
        <w:t>Terms de la Ley</w:t>
      </w:r>
      <w:r w:rsidRPr="00C41925">
        <w:rPr>
          <w:sz w:val="18"/>
          <w:szCs w:val="18"/>
        </w:rPr>
        <w:t xml:space="preserve">, 1721 ed. But that statute and the obvious sense of the thing show that the offence of </w:t>
      </w:r>
      <w:proofErr w:type="spellStart"/>
      <w:r w:rsidRPr="00C41925">
        <w:rPr>
          <w:sz w:val="18"/>
          <w:szCs w:val="18"/>
        </w:rPr>
        <w:t>ingrossing</w:t>
      </w:r>
      <w:proofErr w:type="spellEnd"/>
      <w:r w:rsidRPr="00C41925">
        <w:rPr>
          <w:sz w:val="18"/>
          <w:szCs w:val="18"/>
        </w:rPr>
        <w:t xml:space="preserve"> connoted, not only buying to sell again but also that its intent must be to create what would now be called a "corner"</w:t>
      </w:r>
      <w:r>
        <w:rPr>
          <w:sz w:val="18"/>
          <w:szCs w:val="18"/>
        </w:rPr>
        <w:t>.</w:t>
      </w:r>
      <w:r w:rsidRPr="00C41925">
        <w:rPr>
          <w:sz w:val="18"/>
          <w:szCs w:val="18"/>
        </w:rPr>
        <w:t xml:space="preserve"> </w:t>
      </w:r>
    </w:p>
  </w:footnote>
  <w:footnote w:id="15">
    <w:p w:rsidR="00BE0CB8" w:rsidRPr="00C41925" w:rsidRDefault="00BE0CB8" w:rsidP="00EA012A">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A </w:t>
      </w:r>
      <w:r w:rsidRPr="00C41925">
        <w:rPr>
          <w:i/>
          <w:sz w:val="18"/>
          <w:szCs w:val="18"/>
        </w:rPr>
        <w:t>"'</w:t>
      </w:r>
      <w:proofErr w:type="spellStart"/>
      <w:r w:rsidRPr="00C41925">
        <w:rPr>
          <w:i/>
          <w:sz w:val="18"/>
          <w:szCs w:val="18"/>
        </w:rPr>
        <w:t>Regrator</w:t>
      </w:r>
      <w:proofErr w:type="spellEnd"/>
      <w:r w:rsidRPr="00C41925">
        <w:rPr>
          <w:i/>
          <w:sz w:val="18"/>
          <w:szCs w:val="18"/>
        </w:rPr>
        <w:t xml:space="preserve">' is he that hath corn, victuals, or other things sufficient for his </w:t>
      </w:r>
      <w:proofErr w:type="spellStart"/>
      <w:r w:rsidRPr="00C41925">
        <w:rPr>
          <w:i/>
          <w:sz w:val="18"/>
          <w:szCs w:val="18"/>
        </w:rPr>
        <w:t>owne</w:t>
      </w:r>
      <w:proofErr w:type="spellEnd"/>
      <w:r w:rsidRPr="00C41925">
        <w:rPr>
          <w:i/>
          <w:sz w:val="18"/>
          <w:szCs w:val="18"/>
        </w:rPr>
        <w:t xml:space="preserve"> necessary need, occupation, or spending, and doth nevertheless </w:t>
      </w:r>
      <w:proofErr w:type="spellStart"/>
      <w:r w:rsidRPr="00C41925">
        <w:rPr>
          <w:i/>
          <w:sz w:val="18"/>
          <w:szCs w:val="18"/>
        </w:rPr>
        <w:t>ingrosse</w:t>
      </w:r>
      <w:proofErr w:type="spellEnd"/>
      <w:r w:rsidRPr="00C41925">
        <w:rPr>
          <w:i/>
          <w:sz w:val="18"/>
          <w:szCs w:val="18"/>
        </w:rPr>
        <w:t xml:space="preserve"> and buy up into his hands more </w:t>
      </w:r>
      <w:proofErr w:type="spellStart"/>
      <w:r w:rsidRPr="00C41925">
        <w:rPr>
          <w:i/>
          <w:sz w:val="18"/>
          <w:szCs w:val="18"/>
        </w:rPr>
        <w:t>corne</w:t>
      </w:r>
      <w:proofErr w:type="spellEnd"/>
      <w:r w:rsidRPr="00C41925">
        <w:rPr>
          <w:i/>
          <w:sz w:val="18"/>
          <w:szCs w:val="18"/>
        </w:rPr>
        <w:t xml:space="preserve">, victuals, or other such things, to the intent to sell the same </w:t>
      </w:r>
      <w:proofErr w:type="spellStart"/>
      <w:r w:rsidRPr="00C41925">
        <w:rPr>
          <w:i/>
          <w:sz w:val="18"/>
          <w:szCs w:val="18"/>
        </w:rPr>
        <w:t>againe</w:t>
      </w:r>
      <w:proofErr w:type="spellEnd"/>
      <w:r w:rsidRPr="00C41925">
        <w:rPr>
          <w:i/>
          <w:sz w:val="18"/>
          <w:szCs w:val="18"/>
        </w:rPr>
        <w:t xml:space="preserve"> at a higher and </w:t>
      </w:r>
      <w:proofErr w:type="spellStart"/>
      <w:r w:rsidRPr="00C41925">
        <w:rPr>
          <w:i/>
          <w:sz w:val="18"/>
          <w:szCs w:val="18"/>
        </w:rPr>
        <w:t>deerer</w:t>
      </w:r>
      <w:proofErr w:type="spellEnd"/>
      <w:r w:rsidRPr="00C41925">
        <w:rPr>
          <w:i/>
          <w:sz w:val="18"/>
          <w:szCs w:val="18"/>
        </w:rPr>
        <w:t xml:space="preserve"> price, in </w:t>
      </w:r>
      <w:proofErr w:type="spellStart"/>
      <w:r w:rsidRPr="00C41925">
        <w:rPr>
          <w:i/>
          <w:sz w:val="18"/>
          <w:szCs w:val="18"/>
        </w:rPr>
        <w:t>faires</w:t>
      </w:r>
      <w:proofErr w:type="spellEnd"/>
      <w:r w:rsidRPr="00C41925">
        <w:rPr>
          <w:i/>
          <w:sz w:val="18"/>
          <w:szCs w:val="18"/>
        </w:rPr>
        <w:t xml:space="preserve">, markets, or other such like places, whereof see the stat. 5 Edw. 6, c. 14, for he shall be punished as a forestaller". The Terms de la Ley </w:t>
      </w:r>
      <w:r w:rsidRPr="00C41925">
        <w:rPr>
          <w:sz w:val="18"/>
          <w:szCs w:val="18"/>
        </w:rPr>
        <w:t xml:space="preserve">1721. </w:t>
      </w:r>
      <w:proofErr w:type="gramStart"/>
      <w:r w:rsidRPr="00C41925">
        <w:rPr>
          <w:sz w:val="18"/>
          <w:szCs w:val="18"/>
        </w:rPr>
        <w:t>ed</w:t>
      </w:r>
      <w:proofErr w:type="gramEnd"/>
      <w:r w:rsidRPr="00C41925">
        <w:rPr>
          <w:sz w:val="18"/>
          <w:szCs w:val="18"/>
        </w:rPr>
        <w:t>.</w:t>
      </w:r>
      <w:r>
        <w:rPr>
          <w:sz w:val="18"/>
          <w:szCs w:val="18"/>
        </w:rPr>
        <w:t xml:space="preserve">  </w:t>
      </w:r>
    </w:p>
  </w:footnote>
  <w:footnote w:id="16">
    <w:p w:rsidR="00BE0CB8" w:rsidRPr="00595EE0" w:rsidRDefault="00BE0CB8" w:rsidP="00A12DF2">
      <w:pPr>
        <w:autoSpaceDE w:val="0"/>
        <w:autoSpaceDN w:val="0"/>
        <w:adjustRightInd w:val="0"/>
        <w:spacing w:after="0" w:line="240" w:lineRule="auto"/>
        <w:ind w:left="567" w:hanging="567"/>
        <w:rPr>
          <w:rFonts w:ascii="Calibri" w:hAnsi="Calibri"/>
          <w:sz w:val="18"/>
          <w:szCs w:val="18"/>
        </w:rPr>
      </w:pPr>
      <w:r>
        <w:rPr>
          <w:rStyle w:val="FootnoteReference"/>
        </w:rPr>
        <w:footnoteRef/>
      </w:r>
      <w:r>
        <w:t xml:space="preserve"> </w:t>
      </w:r>
      <w:r>
        <w:tab/>
      </w:r>
      <w:proofErr w:type="spellStart"/>
      <w:proofErr w:type="gramStart"/>
      <w:r w:rsidRPr="00595EE0">
        <w:rPr>
          <w:rFonts w:ascii="Calibri" w:hAnsi="Calibri" w:cs="Times New Roman"/>
          <w:color w:val="1E1E1E"/>
          <w:sz w:val="18"/>
          <w:szCs w:val="18"/>
        </w:rPr>
        <w:t>ll</w:t>
      </w:r>
      <w:r w:rsidRPr="00595EE0">
        <w:rPr>
          <w:rFonts w:ascii="Calibri" w:hAnsi="Calibri" w:cs="Times New Roman"/>
          <w:color w:val="3E3E3E"/>
          <w:sz w:val="18"/>
          <w:szCs w:val="18"/>
        </w:rPr>
        <w:t>lin</w:t>
      </w:r>
      <w:r w:rsidRPr="00595EE0">
        <w:rPr>
          <w:rFonts w:ascii="Calibri" w:hAnsi="Calibri" w:cs="Times New Roman"/>
          <w:color w:val="1E1E1E"/>
          <w:sz w:val="18"/>
          <w:szCs w:val="18"/>
        </w:rPr>
        <w:t>gwonh</w:t>
      </w:r>
      <w:proofErr w:type="spellEnd"/>
      <w:proofErr w:type="gramEnd"/>
      <w:r w:rsidRPr="00595EE0">
        <w:rPr>
          <w:rFonts w:ascii="Calibri" w:hAnsi="Calibri" w:cs="Times New Roman"/>
          <w:color w:val="1E1E1E"/>
          <w:sz w:val="18"/>
          <w:szCs w:val="18"/>
        </w:rPr>
        <w:t xml:space="preserve">, </w:t>
      </w:r>
      <w:r w:rsidRPr="00595EE0">
        <w:rPr>
          <w:rFonts w:ascii="Calibri" w:hAnsi="Calibri" w:cs="Times New Roman"/>
          <w:i/>
          <w:iCs/>
          <w:color w:val="2D2D2D"/>
          <w:sz w:val="18"/>
          <w:szCs w:val="18"/>
        </w:rPr>
        <w:t xml:space="preserve">An </w:t>
      </w:r>
      <w:r>
        <w:rPr>
          <w:rFonts w:ascii="Calibri" w:hAnsi="Calibri" w:cs="Times New Roman"/>
          <w:i/>
          <w:iCs/>
          <w:color w:val="1E1E1E"/>
          <w:sz w:val="18"/>
          <w:szCs w:val="18"/>
        </w:rPr>
        <w:t>I</w:t>
      </w:r>
      <w:r w:rsidRPr="00595EE0">
        <w:rPr>
          <w:rFonts w:ascii="Calibri" w:hAnsi="Calibri" w:cs="Times New Roman"/>
          <w:i/>
          <w:iCs/>
          <w:color w:val="1E1E1E"/>
          <w:sz w:val="18"/>
          <w:szCs w:val="18"/>
        </w:rPr>
        <w:t xml:space="preserve">nquiry into the </w:t>
      </w:r>
      <w:r w:rsidRPr="00595EE0">
        <w:rPr>
          <w:rFonts w:ascii="Calibri" w:hAnsi="Calibri" w:cs="Times New Roman"/>
          <w:i/>
          <w:iCs/>
          <w:color w:val="2D2D2D"/>
          <w:sz w:val="18"/>
          <w:szCs w:val="18"/>
        </w:rPr>
        <w:t xml:space="preserve">Laws </w:t>
      </w:r>
      <w:r w:rsidRPr="00595EE0">
        <w:rPr>
          <w:rFonts w:ascii="Calibri" w:hAnsi="Calibri" w:cs="Times New Roman"/>
          <w:i/>
          <w:iCs/>
          <w:color w:val="3E3E3E"/>
          <w:sz w:val="18"/>
          <w:szCs w:val="18"/>
        </w:rPr>
        <w:t>A</w:t>
      </w:r>
      <w:r w:rsidRPr="00595EE0">
        <w:rPr>
          <w:rFonts w:ascii="Calibri" w:hAnsi="Calibri" w:cs="Times New Roman"/>
          <w:i/>
          <w:iCs/>
          <w:color w:val="1E1E1E"/>
          <w:sz w:val="18"/>
          <w:szCs w:val="18"/>
        </w:rPr>
        <w:t>ncient and Modern respecting For</w:t>
      </w:r>
      <w:r>
        <w:rPr>
          <w:rFonts w:ascii="Calibri" w:hAnsi="Calibri" w:cs="Times New Roman"/>
          <w:i/>
          <w:iCs/>
          <w:color w:val="1E1E1E"/>
          <w:sz w:val="18"/>
          <w:szCs w:val="18"/>
        </w:rPr>
        <w:t>e</w:t>
      </w:r>
      <w:r w:rsidRPr="00595EE0">
        <w:rPr>
          <w:rFonts w:ascii="Calibri" w:hAnsi="Calibri" w:cs="Times New Roman"/>
          <w:i/>
          <w:iCs/>
          <w:color w:val="1E1E1E"/>
          <w:sz w:val="18"/>
          <w:szCs w:val="18"/>
        </w:rPr>
        <w:t>s</w:t>
      </w:r>
      <w:r>
        <w:rPr>
          <w:rFonts w:ascii="Calibri" w:hAnsi="Calibri" w:cs="Times New Roman"/>
          <w:i/>
          <w:iCs/>
          <w:color w:val="1E1E1E"/>
          <w:sz w:val="18"/>
          <w:szCs w:val="18"/>
        </w:rPr>
        <w:t xml:space="preserve">talling, </w:t>
      </w:r>
      <w:proofErr w:type="spellStart"/>
      <w:r>
        <w:rPr>
          <w:rFonts w:ascii="Calibri" w:hAnsi="Calibri" w:cs="Times New Roman"/>
          <w:i/>
          <w:iCs/>
          <w:color w:val="1E1E1E"/>
          <w:sz w:val="18"/>
          <w:szCs w:val="18"/>
        </w:rPr>
        <w:t>Re</w:t>
      </w:r>
      <w:r w:rsidRPr="00595EE0">
        <w:rPr>
          <w:rFonts w:ascii="Calibri" w:hAnsi="Calibri" w:cs="Times New Roman"/>
          <w:i/>
          <w:iCs/>
          <w:color w:val="1E1E1E"/>
          <w:sz w:val="18"/>
          <w:szCs w:val="18"/>
        </w:rPr>
        <w:t>grating</w:t>
      </w:r>
      <w:proofErr w:type="spellEnd"/>
      <w:r w:rsidRPr="00595EE0">
        <w:rPr>
          <w:rFonts w:ascii="Calibri" w:hAnsi="Calibri" w:cs="Times New Roman"/>
          <w:i/>
          <w:iCs/>
          <w:color w:val="1E1E1E"/>
          <w:sz w:val="18"/>
          <w:szCs w:val="18"/>
        </w:rPr>
        <w:t xml:space="preserve"> and </w:t>
      </w:r>
      <w:proofErr w:type="spellStart"/>
      <w:r w:rsidRPr="00595EE0">
        <w:rPr>
          <w:rFonts w:ascii="Calibri" w:hAnsi="Calibri" w:cs="Times New Roman"/>
          <w:i/>
          <w:iCs/>
          <w:color w:val="1E1E1E"/>
          <w:sz w:val="18"/>
          <w:szCs w:val="18"/>
        </w:rPr>
        <w:t>lngrossing</w:t>
      </w:r>
      <w:proofErr w:type="spellEnd"/>
      <w:r w:rsidRPr="00595EE0">
        <w:rPr>
          <w:rFonts w:ascii="Calibri" w:hAnsi="Calibri" w:cs="Times New Roman"/>
          <w:i/>
          <w:iCs/>
          <w:color w:val="1E1E1E"/>
          <w:sz w:val="18"/>
          <w:szCs w:val="18"/>
        </w:rPr>
        <w:t xml:space="preserve"> </w:t>
      </w:r>
      <w:r w:rsidRPr="00595EE0">
        <w:rPr>
          <w:rFonts w:ascii="Calibri" w:hAnsi="Calibri" w:cs="Times New Roman"/>
          <w:color w:val="2D2D2D"/>
          <w:sz w:val="18"/>
          <w:szCs w:val="18"/>
        </w:rPr>
        <w:t>(London, 1800), pp. 13</w:t>
      </w:r>
      <w:r w:rsidRPr="00595EE0">
        <w:rPr>
          <w:rFonts w:ascii="Calibri" w:hAnsi="Calibri" w:cs="Times New Roman"/>
          <w:color w:val="656565"/>
          <w:sz w:val="18"/>
          <w:szCs w:val="18"/>
        </w:rPr>
        <w:t xml:space="preserve">- </w:t>
      </w:r>
      <w:r w:rsidRPr="00595EE0">
        <w:rPr>
          <w:rFonts w:ascii="Calibri" w:hAnsi="Calibri" w:cs="Times New Roman"/>
          <w:color w:val="2D2D2D"/>
          <w:sz w:val="18"/>
          <w:szCs w:val="18"/>
        </w:rPr>
        <w:t>1</w:t>
      </w:r>
      <w:r w:rsidRPr="00595EE0">
        <w:rPr>
          <w:rFonts w:ascii="Calibri" w:hAnsi="Calibri" w:cs="Times New Roman"/>
          <w:color w:val="0F0F0F"/>
          <w:sz w:val="18"/>
          <w:szCs w:val="18"/>
        </w:rPr>
        <w:t>4</w:t>
      </w:r>
      <w:r w:rsidRPr="00595EE0">
        <w:rPr>
          <w:rFonts w:ascii="Calibri" w:hAnsi="Calibri" w:cs="Times New Roman"/>
          <w:color w:val="2D2D2D"/>
          <w:sz w:val="18"/>
          <w:szCs w:val="18"/>
        </w:rPr>
        <w:t>.</w:t>
      </w:r>
    </w:p>
  </w:footnote>
  <w:footnote w:id="17">
    <w:p w:rsidR="00BE0CB8" w:rsidRDefault="00BE0CB8" w:rsidP="00A12DF2">
      <w:pPr>
        <w:pStyle w:val="FootnoteText"/>
        <w:ind w:left="567" w:hanging="567"/>
      </w:pPr>
      <w:r>
        <w:rPr>
          <w:rStyle w:val="FootnoteReference"/>
        </w:rPr>
        <w:footnoteRef/>
      </w:r>
      <w:r>
        <w:t xml:space="preserve"> </w:t>
      </w:r>
      <w:r>
        <w:tab/>
      </w:r>
      <w:r>
        <w:rPr>
          <w:sz w:val="18"/>
        </w:rPr>
        <w:t>Blackstone: Commentaries Vol 4 Chap 12</w:t>
      </w:r>
      <w:r w:rsidRPr="004637A0">
        <w:rPr>
          <w:sz w:val="18"/>
        </w:rPr>
        <w:t xml:space="preserve"> § 8 as regards engrossing cites: “</w:t>
      </w:r>
      <w:proofErr w:type="spellStart"/>
      <w:r w:rsidRPr="004637A0">
        <w:rPr>
          <w:i/>
          <w:sz w:val="18"/>
        </w:rPr>
        <w:t>Poena</w:t>
      </w:r>
      <w:proofErr w:type="spellEnd"/>
      <w:r w:rsidRPr="004637A0">
        <w:rPr>
          <w:i/>
          <w:sz w:val="18"/>
        </w:rPr>
        <w:t xml:space="preserve"> </w:t>
      </w:r>
      <w:proofErr w:type="spellStart"/>
      <w:r w:rsidRPr="004637A0">
        <w:rPr>
          <w:i/>
          <w:sz w:val="18"/>
        </w:rPr>
        <w:t>viginti</w:t>
      </w:r>
      <w:proofErr w:type="spellEnd"/>
      <w:r w:rsidRPr="004637A0">
        <w:rPr>
          <w:i/>
          <w:sz w:val="18"/>
        </w:rPr>
        <w:t xml:space="preserve"> </w:t>
      </w:r>
      <w:proofErr w:type="spellStart"/>
      <w:r w:rsidRPr="004637A0">
        <w:rPr>
          <w:i/>
          <w:sz w:val="18"/>
        </w:rPr>
        <w:t>aureorum</w:t>
      </w:r>
      <w:proofErr w:type="spellEnd"/>
      <w:r w:rsidRPr="004637A0">
        <w:rPr>
          <w:i/>
          <w:sz w:val="18"/>
        </w:rPr>
        <w:t xml:space="preserve"> </w:t>
      </w:r>
      <w:proofErr w:type="spellStart"/>
      <w:r w:rsidRPr="004637A0">
        <w:rPr>
          <w:i/>
          <w:sz w:val="18"/>
        </w:rPr>
        <w:t>statuitur</w:t>
      </w:r>
      <w:proofErr w:type="spellEnd"/>
      <w:r w:rsidRPr="004637A0">
        <w:rPr>
          <w:i/>
          <w:sz w:val="18"/>
        </w:rPr>
        <w:t xml:space="preserve"> </w:t>
      </w:r>
      <w:proofErr w:type="spellStart"/>
      <w:r w:rsidRPr="004637A0">
        <w:rPr>
          <w:i/>
          <w:sz w:val="18"/>
        </w:rPr>
        <w:t>adversus</w:t>
      </w:r>
      <w:proofErr w:type="spellEnd"/>
      <w:r w:rsidRPr="004637A0">
        <w:rPr>
          <w:i/>
          <w:sz w:val="18"/>
        </w:rPr>
        <w:t xml:space="preserve"> </w:t>
      </w:r>
      <w:proofErr w:type="spellStart"/>
      <w:r w:rsidRPr="004637A0">
        <w:rPr>
          <w:i/>
          <w:sz w:val="18"/>
        </w:rPr>
        <w:t>eum</w:t>
      </w:r>
      <w:proofErr w:type="spellEnd"/>
      <w:r w:rsidRPr="004637A0">
        <w:rPr>
          <w:i/>
          <w:sz w:val="18"/>
        </w:rPr>
        <w:t xml:space="preserve">, qui contra </w:t>
      </w:r>
      <w:proofErr w:type="spellStart"/>
      <w:r w:rsidRPr="004637A0">
        <w:rPr>
          <w:i/>
          <w:sz w:val="18"/>
        </w:rPr>
        <w:t>annonam</w:t>
      </w:r>
      <w:proofErr w:type="spellEnd"/>
      <w:r w:rsidRPr="004637A0">
        <w:rPr>
          <w:i/>
          <w:sz w:val="18"/>
        </w:rPr>
        <w:t xml:space="preserve"> </w:t>
      </w:r>
      <w:proofErr w:type="spellStart"/>
      <w:r w:rsidRPr="004637A0">
        <w:rPr>
          <w:i/>
          <w:sz w:val="18"/>
        </w:rPr>
        <w:t>fecerit</w:t>
      </w:r>
      <w:proofErr w:type="spellEnd"/>
      <w:r w:rsidRPr="004637A0">
        <w:rPr>
          <w:i/>
          <w:sz w:val="18"/>
        </w:rPr>
        <w:t xml:space="preserve">, </w:t>
      </w:r>
      <w:proofErr w:type="spellStart"/>
      <w:r w:rsidRPr="004637A0">
        <w:rPr>
          <w:i/>
          <w:sz w:val="18"/>
        </w:rPr>
        <w:t>societatemve</w:t>
      </w:r>
      <w:proofErr w:type="spellEnd"/>
      <w:r w:rsidRPr="004637A0">
        <w:rPr>
          <w:i/>
          <w:sz w:val="18"/>
        </w:rPr>
        <w:t xml:space="preserve"> </w:t>
      </w:r>
      <w:proofErr w:type="spellStart"/>
      <w:r w:rsidRPr="004637A0">
        <w:rPr>
          <w:i/>
          <w:sz w:val="18"/>
        </w:rPr>
        <w:t>coierit</w:t>
      </w:r>
      <w:proofErr w:type="spellEnd"/>
      <w:r w:rsidRPr="004637A0">
        <w:rPr>
          <w:i/>
          <w:sz w:val="18"/>
        </w:rPr>
        <w:t xml:space="preserve"> quo </w:t>
      </w:r>
      <w:proofErr w:type="spellStart"/>
      <w:r w:rsidRPr="004637A0">
        <w:rPr>
          <w:i/>
          <w:sz w:val="18"/>
        </w:rPr>
        <w:t>annona</w:t>
      </w:r>
      <w:proofErr w:type="spellEnd"/>
      <w:r w:rsidRPr="004637A0">
        <w:rPr>
          <w:i/>
          <w:sz w:val="18"/>
        </w:rPr>
        <w:t xml:space="preserve"> </w:t>
      </w:r>
      <w:proofErr w:type="spellStart"/>
      <w:r w:rsidRPr="004637A0">
        <w:rPr>
          <w:i/>
          <w:sz w:val="18"/>
        </w:rPr>
        <w:t>carior</w:t>
      </w:r>
      <w:proofErr w:type="spellEnd"/>
      <w:r w:rsidRPr="004637A0">
        <w:rPr>
          <w:i/>
          <w:sz w:val="18"/>
        </w:rPr>
        <w:t xml:space="preserve"> fiat</w:t>
      </w:r>
      <w:r w:rsidRPr="004637A0">
        <w:rPr>
          <w:sz w:val="18"/>
        </w:rPr>
        <w:t xml:space="preserve">” </w:t>
      </w:r>
      <w:proofErr w:type="spellStart"/>
      <w:r w:rsidRPr="004637A0">
        <w:rPr>
          <w:sz w:val="18"/>
        </w:rPr>
        <w:t>i.e</w:t>
      </w:r>
      <w:proofErr w:type="spellEnd"/>
      <w:r w:rsidRPr="004637A0">
        <w:rPr>
          <w:sz w:val="18"/>
        </w:rPr>
        <w:t xml:space="preserve"> “A penalty of 20 gold pieces is imposed on those who do anything injurious to the market (for grain) or who join an association whereby the market price may be raised.</w:t>
      </w:r>
      <w:r>
        <w:t xml:space="preserve"> </w:t>
      </w:r>
    </w:p>
  </w:footnote>
  <w:footnote w:id="18">
    <w:p w:rsidR="00BE0CB8" w:rsidRPr="00640D60" w:rsidRDefault="00BE0CB8" w:rsidP="00640D60">
      <w:pPr>
        <w:pStyle w:val="FootnoteText"/>
        <w:ind w:left="567" w:hanging="567"/>
        <w:rPr>
          <w:sz w:val="18"/>
          <w:u w:val="double"/>
        </w:rPr>
      </w:pPr>
      <w:r>
        <w:rPr>
          <w:rStyle w:val="FootnoteReference"/>
        </w:rPr>
        <w:footnoteRef/>
      </w:r>
      <w:r>
        <w:t xml:space="preserve"> </w:t>
      </w:r>
      <w:r>
        <w:tab/>
      </w:r>
      <w:r w:rsidRPr="004C438A">
        <w:rPr>
          <w:sz w:val="18"/>
        </w:rPr>
        <w:t xml:space="preserve">See generally </w:t>
      </w:r>
      <w:proofErr w:type="spellStart"/>
      <w:r w:rsidRPr="004C438A">
        <w:rPr>
          <w:sz w:val="18"/>
        </w:rPr>
        <w:t>Britnell</w:t>
      </w:r>
      <w:proofErr w:type="spellEnd"/>
      <w:r w:rsidRPr="004C438A">
        <w:rPr>
          <w:sz w:val="18"/>
        </w:rPr>
        <w:t xml:space="preserve">, </w:t>
      </w:r>
      <w:proofErr w:type="spellStart"/>
      <w:r w:rsidRPr="004C438A">
        <w:rPr>
          <w:i/>
          <w:sz w:val="18"/>
        </w:rPr>
        <w:t>Forstall</w:t>
      </w:r>
      <w:proofErr w:type="spellEnd"/>
      <w:r w:rsidRPr="004C438A">
        <w:rPr>
          <w:i/>
          <w:sz w:val="18"/>
        </w:rPr>
        <w:t>, foresta</w:t>
      </w:r>
      <w:r>
        <w:rPr>
          <w:i/>
          <w:sz w:val="18"/>
        </w:rPr>
        <w:t>lling and the</w:t>
      </w:r>
      <w:r w:rsidRPr="004C438A">
        <w:rPr>
          <w:i/>
          <w:sz w:val="18"/>
        </w:rPr>
        <w:t xml:space="preserve"> Statute of Forestallers</w:t>
      </w:r>
      <w:r>
        <w:rPr>
          <w:sz w:val="18"/>
        </w:rPr>
        <w:t>: (1987) 102 English Historical Review 89-</w:t>
      </w:r>
      <w:r w:rsidRPr="00640D60">
        <w:rPr>
          <w:sz w:val="18"/>
        </w:rPr>
        <w:t>102</w:t>
      </w:r>
      <w:proofErr w:type="gramStart"/>
      <w:r w:rsidRPr="00640D60">
        <w:rPr>
          <w:sz w:val="18"/>
        </w:rPr>
        <w:t>;  Davis</w:t>
      </w:r>
      <w:proofErr w:type="gramEnd"/>
      <w:r w:rsidRPr="00640D60">
        <w:rPr>
          <w:sz w:val="18"/>
        </w:rPr>
        <w:t xml:space="preserve">, </w:t>
      </w:r>
      <w:r w:rsidRPr="00640D60">
        <w:rPr>
          <w:i/>
          <w:sz w:val="18"/>
        </w:rPr>
        <w:t>Mediaeval Market Morality</w:t>
      </w:r>
      <w:r>
        <w:rPr>
          <w:i/>
          <w:sz w:val="18"/>
        </w:rPr>
        <w:t xml:space="preserve"> (</w:t>
      </w:r>
      <w:r w:rsidRPr="00640D60">
        <w:rPr>
          <w:sz w:val="18"/>
        </w:rPr>
        <w:t>2012</w:t>
      </w:r>
      <w:r>
        <w:rPr>
          <w:i/>
          <w:sz w:val="18"/>
        </w:rPr>
        <w:t xml:space="preserve">, </w:t>
      </w:r>
      <w:r>
        <w:rPr>
          <w:sz w:val="18"/>
        </w:rPr>
        <w:t>Cambridge UP) pp 254-6; 268-9; 327-31; 405-7.</w:t>
      </w:r>
    </w:p>
  </w:footnote>
  <w:footnote w:id="19">
    <w:p w:rsidR="00570077" w:rsidRDefault="00570077" w:rsidP="00570077">
      <w:pPr>
        <w:pStyle w:val="FootnoteText"/>
        <w:ind w:left="567" w:hanging="567"/>
      </w:pPr>
      <w:r>
        <w:rPr>
          <w:rStyle w:val="FootnoteReference"/>
        </w:rPr>
        <w:footnoteRef/>
      </w:r>
      <w:r>
        <w:t xml:space="preserve"> </w:t>
      </w:r>
      <w:r>
        <w:tab/>
      </w:r>
      <w:proofErr w:type="spellStart"/>
      <w:r w:rsidRPr="003E21F3">
        <w:rPr>
          <w:sz w:val="18"/>
          <w:szCs w:val="18"/>
        </w:rPr>
        <w:t>Pulton</w:t>
      </w:r>
      <w:proofErr w:type="spellEnd"/>
      <w:r w:rsidRPr="003E21F3">
        <w:rPr>
          <w:sz w:val="18"/>
          <w:szCs w:val="18"/>
        </w:rPr>
        <w:t xml:space="preserve"> (1609) was</w:t>
      </w:r>
      <w:r w:rsidRPr="008166E0">
        <w:rPr>
          <w:sz w:val="18"/>
        </w:rPr>
        <w:t xml:space="preserve"> the first legal writer to write a comprehensive book on the criminal law. </w:t>
      </w:r>
      <w:r>
        <w:rPr>
          <w:sz w:val="18"/>
        </w:rPr>
        <w:t xml:space="preserve">The passage is cited by Illingworth, </w:t>
      </w:r>
      <w:r w:rsidRPr="008166E0">
        <w:rPr>
          <w:i/>
          <w:sz w:val="18"/>
        </w:rPr>
        <w:t xml:space="preserve">op. </w:t>
      </w:r>
      <w:proofErr w:type="spellStart"/>
      <w:r w:rsidRPr="008166E0">
        <w:rPr>
          <w:i/>
          <w:sz w:val="18"/>
        </w:rPr>
        <w:t>cit</w:t>
      </w:r>
      <w:proofErr w:type="spellEnd"/>
      <w:r>
        <w:rPr>
          <w:sz w:val="18"/>
        </w:rPr>
        <w:t xml:space="preserve"> pp </w:t>
      </w:r>
      <w:r w:rsidRPr="008166E0">
        <w:rPr>
          <w:sz w:val="18"/>
        </w:rPr>
        <w:t xml:space="preserve">29-30 </w:t>
      </w:r>
    </w:p>
  </w:footnote>
  <w:footnote w:id="20">
    <w:p w:rsidR="00BE0CB8" w:rsidRDefault="00BE0CB8" w:rsidP="00A12DF2">
      <w:pPr>
        <w:pStyle w:val="FootnoteText"/>
        <w:ind w:left="567" w:hanging="567"/>
      </w:pPr>
      <w:r>
        <w:rPr>
          <w:rStyle w:val="FootnoteReference"/>
        </w:rPr>
        <w:footnoteRef/>
      </w:r>
      <w:r>
        <w:t xml:space="preserve"> </w:t>
      </w:r>
      <w:r>
        <w:tab/>
      </w:r>
      <w:r w:rsidRPr="00A12DF2">
        <w:rPr>
          <w:sz w:val="18"/>
        </w:rPr>
        <w:t xml:space="preserve">For an interesting review of the development of the English law on the topic, see </w:t>
      </w:r>
      <w:proofErr w:type="spellStart"/>
      <w:r w:rsidRPr="00A12DF2">
        <w:rPr>
          <w:sz w:val="18"/>
        </w:rPr>
        <w:t>Peppin</w:t>
      </w:r>
      <w:proofErr w:type="spellEnd"/>
      <w:r w:rsidRPr="00A12DF2">
        <w:rPr>
          <w:sz w:val="18"/>
        </w:rPr>
        <w:t xml:space="preserve">, </w:t>
      </w:r>
      <w:r w:rsidRPr="00A12DF2">
        <w:rPr>
          <w:i/>
          <w:sz w:val="18"/>
        </w:rPr>
        <w:t xml:space="preserve">Price Fixing Agreements under the Sherman Anti-Trust Law, </w:t>
      </w:r>
      <w:r w:rsidRPr="00A12DF2">
        <w:rPr>
          <w:sz w:val="18"/>
        </w:rPr>
        <w:t xml:space="preserve">(1940) 28 California L.R. 297 at 310-334; </w:t>
      </w:r>
    </w:p>
  </w:footnote>
  <w:footnote w:id="21">
    <w:p w:rsidR="00BE0CB8" w:rsidRPr="00C41925" w:rsidRDefault="00BE0CB8" w:rsidP="00A12DF2">
      <w:pPr>
        <w:pStyle w:val="FootnoteText"/>
        <w:spacing w:after="60"/>
        <w:ind w:left="567" w:hanging="567"/>
        <w:rPr>
          <w:sz w:val="18"/>
          <w:szCs w:val="18"/>
        </w:rPr>
      </w:pPr>
      <w:r w:rsidRPr="004E5D7A">
        <w:rPr>
          <w:rStyle w:val="FootnoteReference"/>
          <w:sz w:val="18"/>
          <w:szCs w:val="18"/>
        </w:rPr>
        <w:footnoteRef/>
      </w:r>
      <w:r w:rsidRPr="004E5D7A">
        <w:rPr>
          <w:sz w:val="18"/>
          <w:szCs w:val="18"/>
        </w:rPr>
        <w:t xml:space="preserve"> </w:t>
      </w:r>
      <w:r w:rsidRPr="004E5D7A">
        <w:rPr>
          <w:sz w:val="18"/>
          <w:szCs w:val="18"/>
        </w:rPr>
        <w:tab/>
        <w:t xml:space="preserve">Winfield: </w:t>
      </w:r>
      <w:r w:rsidRPr="004E5D7A">
        <w:rPr>
          <w:i/>
          <w:iCs/>
          <w:sz w:val="18"/>
          <w:szCs w:val="18"/>
        </w:rPr>
        <w:t>The History of Conspiracy and Abuse of Legal Procedure</w:t>
      </w:r>
      <w:r w:rsidRPr="004E5D7A">
        <w:rPr>
          <w:sz w:val="18"/>
          <w:szCs w:val="18"/>
        </w:rPr>
        <w:t xml:space="preserve">. (1921) [2001 reprint], p.111: see also </w:t>
      </w:r>
      <w:proofErr w:type="spellStart"/>
      <w:r w:rsidRPr="004E5D7A">
        <w:rPr>
          <w:sz w:val="18"/>
          <w:szCs w:val="18"/>
        </w:rPr>
        <w:t>Holdsworth</w:t>
      </w:r>
      <w:proofErr w:type="spellEnd"/>
      <w:r w:rsidRPr="004E5D7A">
        <w:rPr>
          <w:sz w:val="18"/>
          <w:szCs w:val="18"/>
        </w:rPr>
        <w:t xml:space="preserve">: vol. xi, </w:t>
      </w:r>
      <w:proofErr w:type="gramStart"/>
      <w:r w:rsidRPr="004E5D7A">
        <w:rPr>
          <w:sz w:val="18"/>
          <w:szCs w:val="18"/>
        </w:rPr>
        <w:t>475 et seq.</w:t>
      </w:r>
      <w:proofErr w:type="gramEnd"/>
      <w:r w:rsidRPr="00C41925">
        <w:rPr>
          <w:sz w:val="18"/>
          <w:szCs w:val="18"/>
        </w:rPr>
        <w:t xml:space="preserve"> </w:t>
      </w:r>
    </w:p>
  </w:footnote>
  <w:footnote w:id="22">
    <w:p w:rsidR="00BE0CB8" w:rsidRPr="00C41925" w:rsidRDefault="00BE0CB8" w:rsidP="00A12DF2">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r w:rsidRPr="00C41925">
        <w:rPr>
          <w:sz w:val="18"/>
          <w:szCs w:val="18"/>
        </w:rPr>
        <w:t>Holdsworth</w:t>
      </w:r>
      <w:proofErr w:type="spellEnd"/>
      <w:r w:rsidRPr="00C41925">
        <w:rPr>
          <w:sz w:val="18"/>
          <w:szCs w:val="18"/>
        </w:rPr>
        <w:t xml:space="preserve">: </w:t>
      </w:r>
      <w:r w:rsidRPr="00C41925">
        <w:rPr>
          <w:i/>
          <w:iCs/>
          <w:sz w:val="18"/>
          <w:szCs w:val="18"/>
        </w:rPr>
        <w:t xml:space="preserve">op </w:t>
      </w:r>
      <w:proofErr w:type="spellStart"/>
      <w:r w:rsidRPr="00C41925">
        <w:rPr>
          <w:i/>
          <w:iCs/>
          <w:sz w:val="18"/>
          <w:szCs w:val="18"/>
        </w:rPr>
        <w:t>cit</w:t>
      </w:r>
      <w:proofErr w:type="spellEnd"/>
      <w:r w:rsidRPr="00C41925">
        <w:rPr>
          <w:i/>
          <w:iCs/>
          <w:sz w:val="18"/>
          <w:szCs w:val="18"/>
        </w:rPr>
        <w:t xml:space="preserve"> </w:t>
      </w:r>
      <w:r w:rsidRPr="00C41925">
        <w:rPr>
          <w:sz w:val="18"/>
          <w:szCs w:val="18"/>
        </w:rPr>
        <w:t xml:space="preserve">vol. xi, 477-478 and 481-482. </w:t>
      </w:r>
    </w:p>
  </w:footnote>
  <w:footnote w:id="23">
    <w:p w:rsidR="00BE0CB8" w:rsidRPr="00C41925" w:rsidRDefault="00BE0CB8" w:rsidP="00A12DF2">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proofErr w:type="gramStart"/>
      <w:r w:rsidRPr="00C41925">
        <w:rPr>
          <w:sz w:val="18"/>
          <w:szCs w:val="18"/>
        </w:rPr>
        <w:t>Holdsworth</w:t>
      </w:r>
      <w:proofErr w:type="spellEnd"/>
      <w:r w:rsidRPr="00C41925">
        <w:rPr>
          <w:sz w:val="18"/>
          <w:szCs w:val="18"/>
        </w:rPr>
        <w:t xml:space="preserve">, </w:t>
      </w:r>
      <w:r w:rsidRPr="00C41925">
        <w:rPr>
          <w:i/>
          <w:iCs/>
          <w:sz w:val="18"/>
          <w:szCs w:val="18"/>
        </w:rPr>
        <w:t xml:space="preserve">op </w:t>
      </w:r>
      <w:proofErr w:type="spellStart"/>
      <w:r w:rsidRPr="00C41925">
        <w:rPr>
          <w:i/>
          <w:iCs/>
          <w:sz w:val="18"/>
          <w:szCs w:val="18"/>
        </w:rPr>
        <w:t>cit</w:t>
      </w:r>
      <w:proofErr w:type="spellEnd"/>
      <w:r w:rsidRPr="00C41925">
        <w:rPr>
          <w:sz w:val="18"/>
          <w:szCs w:val="18"/>
        </w:rPr>
        <w:t xml:space="preserve"> xi, 479.</w:t>
      </w:r>
      <w:proofErr w:type="gramEnd"/>
      <w:r w:rsidRPr="00C41925">
        <w:rPr>
          <w:sz w:val="18"/>
          <w:szCs w:val="18"/>
        </w:rPr>
        <w:t xml:space="preserve"> </w:t>
      </w:r>
    </w:p>
  </w:footnote>
  <w:footnote w:id="24">
    <w:p w:rsidR="00BE0CB8" w:rsidRPr="00F4269A" w:rsidRDefault="00BE0CB8" w:rsidP="00640D60">
      <w:pPr>
        <w:pStyle w:val="FootnoteText"/>
        <w:ind w:left="567" w:hanging="567"/>
        <w:rPr>
          <w:sz w:val="18"/>
          <w:szCs w:val="18"/>
        </w:rPr>
      </w:pPr>
      <w:r>
        <w:rPr>
          <w:rStyle w:val="FootnoteReference"/>
        </w:rPr>
        <w:footnoteRef/>
      </w:r>
      <w:r>
        <w:t xml:space="preserve"> </w:t>
      </w:r>
      <w:r>
        <w:tab/>
      </w:r>
      <w:r w:rsidRPr="00640D60">
        <w:rPr>
          <w:sz w:val="18"/>
        </w:rPr>
        <w:t xml:space="preserve">EV Thompson: </w:t>
      </w:r>
      <w:r w:rsidRPr="00640D60">
        <w:rPr>
          <w:i/>
          <w:sz w:val="18"/>
        </w:rPr>
        <w:t>The Moral Economy and the English Crowd in the Eighteenth Century</w:t>
      </w:r>
      <w:r>
        <w:rPr>
          <w:sz w:val="18"/>
        </w:rPr>
        <w:t xml:space="preserve"> </w:t>
      </w:r>
      <w:r w:rsidRPr="00640D60">
        <w:rPr>
          <w:sz w:val="18"/>
          <w:szCs w:val="18"/>
        </w:rPr>
        <w:t xml:space="preserve">(1971) Past and Present, No. </w:t>
      </w:r>
      <w:r w:rsidRPr="00F4269A">
        <w:rPr>
          <w:sz w:val="18"/>
          <w:szCs w:val="18"/>
        </w:rPr>
        <w:t xml:space="preserve">50. pp. 76-136 and see the numerous examples cited in </w:t>
      </w:r>
      <w:proofErr w:type="spellStart"/>
      <w:r w:rsidRPr="00F4269A">
        <w:rPr>
          <w:sz w:val="18"/>
          <w:szCs w:val="18"/>
        </w:rPr>
        <w:t>ff</w:t>
      </w:r>
      <w:proofErr w:type="spellEnd"/>
      <w:r w:rsidRPr="00F4269A">
        <w:rPr>
          <w:sz w:val="18"/>
          <w:szCs w:val="18"/>
        </w:rPr>
        <w:t xml:space="preserve"> 64.</w:t>
      </w:r>
    </w:p>
  </w:footnote>
  <w:footnote w:id="25">
    <w:p w:rsidR="00BE0CB8" w:rsidRPr="00F4269A" w:rsidRDefault="00BE0CB8" w:rsidP="00A12DF2">
      <w:pPr>
        <w:pStyle w:val="FootnoteText"/>
        <w:ind w:left="567" w:hanging="567"/>
        <w:rPr>
          <w:sz w:val="18"/>
          <w:szCs w:val="18"/>
        </w:rPr>
      </w:pPr>
      <w:r w:rsidRPr="00F4269A">
        <w:rPr>
          <w:rStyle w:val="FootnoteReference"/>
          <w:sz w:val="18"/>
          <w:szCs w:val="18"/>
        </w:rPr>
        <w:footnoteRef/>
      </w:r>
      <w:r w:rsidRPr="00F4269A">
        <w:rPr>
          <w:sz w:val="18"/>
          <w:szCs w:val="18"/>
        </w:rPr>
        <w:t xml:space="preserve"> </w:t>
      </w:r>
      <w:r w:rsidRPr="00F4269A">
        <w:rPr>
          <w:sz w:val="18"/>
          <w:szCs w:val="18"/>
        </w:rPr>
        <w:tab/>
      </w:r>
      <w:proofErr w:type="gramStart"/>
      <w:r w:rsidRPr="00F4269A">
        <w:rPr>
          <w:sz w:val="18"/>
          <w:szCs w:val="18"/>
        </w:rPr>
        <w:t>5 &amp; 6 Ed. 6 c. 14.</w:t>
      </w:r>
      <w:proofErr w:type="gramEnd"/>
    </w:p>
  </w:footnote>
  <w:footnote w:id="26">
    <w:p w:rsidR="00BE0CB8" w:rsidRPr="007C6241" w:rsidRDefault="00BE0CB8" w:rsidP="007C6241">
      <w:pPr>
        <w:pStyle w:val="FootnoteText"/>
        <w:ind w:left="567" w:hanging="567"/>
      </w:pPr>
      <w:r w:rsidRPr="00F4269A">
        <w:rPr>
          <w:rStyle w:val="FootnoteReference"/>
          <w:sz w:val="18"/>
          <w:szCs w:val="18"/>
        </w:rPr>
        <w:footnoteRef/>
      </w:r>
      <w:r w:rsidRPr="00F4269A">
        <w:rPr>
          <w:sz w:val="18"/>
          <w:szCs w:val="18"/>
        </w:rPr>
        <w:t xml:space="preserve"> </w:t>
      </w:r>
      <w:r w:rsidRPr="00F4269A">
        <w:rPr>
          <w:sz w:val="18"/>
          <w:szCs w:val="18"/>
        </w:rPr>
        <w:tab/>
        <w:t xml:space="preserve">Hawkins, </w:t>
      </w:r>
      <w:r w:rsidRPr="00F4269A">
        <w:rPr>
          <w:i/>
          <w:sz w:val="18"/>
          <w:szCs w:val="18"/>
        </w:rPr>
        <w:t>Pleas of the Crown</w:t>
      </w:r>
      <w:r w:rsidRPr="00F4269A">
        <w:rPr>
          <w:sz w:val="18"/>
          <w:szCs w:val="18"/>
        </w:rPr>
        <w:t>; (6</w:t>
      </w:r>
      <w:r w:rsidRPr="00F4269A">
        <w:rPr>
          <w:sz w:val="18"/>
          <w:szCs w:val="18"/>
          <w:vertAlign w:val="superscript"/>
        </w:rPr>
        <w:t>th</w:t>
      </w:r>
      <w:r w:rsidRPr="00F4269A">
        <w:rPr>
          <w:sz w:val="18"/>
          <w:szCs w:val="18"/>
        </w:rPr>
        <w:t xml:space="preserve"> </w:t>
      </w:r>
      <w:proofErr w:type="spellStart"/>
      <w:r w:rsidRPr="00F4269A">
        <w:rPr>
          <w:sz w:val="18"/>
          <w:szCs w:val="18"/>
        </w:rPr>
        <w:t>ed</w:t>
      </w:r>
      <w:proofErr w:type="spellEnd"/>
      <w:r w:rsidRPr="00F4269A">
        <w:rPr>
          <w:sz w:val="18"/>
          <w:szCs w:val="18"/>
        </w:rPr>
        <w:t xml:space="preserve">) </w:t>
      </w:r>
      <w:proofErr w:type="gramStart"/>
      <w:r w:rsidRPr="00F4269A">
        <w:rPr>
          <w:sz w:val="18"/>
          <w:szCs w:val="18"/>
        </w:rPr>
        <w:t>1778  p</w:t>
      </w:r>
      <w:proofErr w:type="gramEnd"/>
      <w:r w:rsidRPr="00F4269A">
        <w:rPr>
          <w:sz w:val="18"/>
          <w:szCs w:val="18"/>
        </w:rPr>
        <w:t xml:space="preserve"> 478“.. </w:t>
      </w:r>
      <w:proofErr w:type="gramStart"/>
      <w:r w:rsidRPr="00F4269A">
        <w:rPr>
          <w:i/>
          <w:sz w:val="18"/>
          <w:szCs w:val="18"/>
        </w:rPr>
        <w:t>all</w:t>
      </w:r>
      <w:proofErr w:type="gramEnd"/>
      <w:r w:rsidRPr="00F4269A">
        <w:rPr>
          <w:i/>
          <w:sz w:val="18"/>
          <w:szCs w:val="18"/>
        </w:rPr>
        <w:t xml:space="preserve"> endeavours whatsoever to enhance the common price of any merchandise, and all kinds of practices which have an apparent tendency thereto, whether by spreading false rumours  . .  are highly criminal at common law, and that all such offences anciently came under the general notion of forestalling, which included all kinds of offence of this nature.</w:t>
      </w:r>
      <w:r w:rsidRPr="00F4269A">
        <w:rPr>
          <w:sz w:val="18"/>
          <w:szCs w:val="18"/>
        </w:rPr>
        <w:t xml:space="preserve">”; and Blackstone </w:t>
      </w:r>
      <w:r w:rsidRPr="00F4269A">
        <w:rPr>
          <w:i/>
          <w:sz w:val="18"/>
          <w:szCs w:val="18"/>
        </w:rPr>
        <w:t>Commentaries</w:t>
      </w:r>
      <w:r w:rsidRPr="00F4269A">
        <w:rPr>
          <w:sz w:val="18"/>
          <w:szCs w:val="18"/>
        </w:rPr>
        <w:t xml:space="preserve"> Vol IV, OUP Chap 12</w:t>
      </w:r>
      <w:r w:rsidRPr="00F4269A">
        <w:rPr>
          <w:i/>
          <w:sz w:val="18"/>
          <w:szCs w:val="18"/>
        </w:rPr>
        <w:t xml:space="preserve"> Of Offences against Public Trade §6.</w:t>
      </w:r>
    </w:p>
  </w:footnote>
  <w:footnote w:id="27">
    <w:p w:rsidR="00BE0CB8" w:rsidRPr="003F7710" w:rsidRDefault="00BE0CB8" w:rsidP="00ED2BBF">
      <w:pPr>
        <w:pStyle w:val="FootnoteText"/>
        <w:ind w:left="567" w:hanging="567"/>
        <w:rPr>
          <w:sz w:val="18"/>
          <w:szCs w:val="18"/>
        </w:rPr>
      </w:pPr>
      <w:r w:rsidRPr="003F7710">
        <w:rPr>
          <w:rStyle w:val="FootnoteReference"/>
          <w:sz w:val="18"/>
          <w:szCs w:val="18"/>
        </w:rPr>
        <w:footnoteRef/>
      </w:r>
      <w:r w:rsidRPr="003F7710">
        <w:rPr>
          <w:sz w:val="18"/>
          <w:szCs w:val="18"/>
        </w:rPr>
        <w:t xml:space="preserve"> </w:t>
      </w:r>
      <w:r w:rsidRPr="003F7710">
        <w:rPr>
          <w:sz w:val="18"/>
          <w:szCs w:val="18"/>
        </w:rPr>
        <w:tab/>
        <w:t>Including turkeys:</w:t>
      </w:r>
      <w:r w:rsidRPr="003F7710">
        <w:rPr>
          <w:i/>
          <w:sz w:val="18"/>
          <w:szCs w:val="18"/>
        </w:rPr>
        <w:t xml:space="preserve"> Wright </w:t>
      </w:r>
      <w:hyperlink r:id="rId5" w:history="1">
        <w:r w:rsidRPr="003F7710">
          <w:rPr>
            <w:sz w:val="18"/>
            <w:szCs w:val="18"/>
          </w:rPr>
          <w:t xml:space="preserve">[1724] </w:t>
        </w:r>
        <w:proofErr w:type="spellStart"/>
        <w:r w:rsidRPr="003F7710">
          <w:rPr>
            <w:sz w:val="18"/>
            <w:szCs w:val="18"/>
          </w:rPr>
          <w:t>EngR</w:t>
        </w:r>
        <w:proofErr w:type="spellEnd"/>
        <w:r w:rsidRPr="003F7710">
          <w:rPr>
            <w:sz w:val="18"/>
            <w:szCs w:val="18"/>
          </w:rPr>
          <w:t xml:space="preserve"> 467; (1724) Comb 225; 90 ER 443 (C)</w:t>
        </w:r>
      </w:hyperlink>
      <w:r w:rsidRPr="003F7710">
        <w:rPr>
          <w:sz w:val="18"/>
          <w:szCs w:val="18"/>
        </w:rPr>
        <w:t>.</w:t>
      </w:r>
    </w:p>
  </w:footnote>
  <w:footnote w:id="28">
    <w:p w:rsidR="00BE0CB8" w:rsidRPr="003F7710" w:rsidRDefault="00BE0CB8" w:rsidP="00ED2BBF">
      <w:pPr>
        <w:pStyle w:val="FootnoteText"/>
        <w:ind w:left="567" w:hanging="567"/>
        <w:rPr>
          <w:i/>
          <w:sz w:val="18"/>
          <w:szCs w:val="18"/>
        </w:rPr>
      </w:pPr>
      <w:r w:rsidRPr="003F7710">
        <w:rPr>
          <w:rStyle w:val="FootnoteReference"/>
          <w:sz w:val="18"/>
          <w:szCs w:val="18"/>
        </w:rPr>
        <w:footnoteRef/>
      </w:r>
      <w:r w:rsidRPr="003F7710">
        <w:rPr>
          <w:sz w:val="18"/>
          <w:szCs w:val="18"/>
        </w:rPr>
        <w:t xml:space="preserve"> </w:t>
      </w:r>
      <w:r w:rsidRPr="003F7710">
        <w:rPr>
          <w:sz w:val="18"/>
          <w:szCs w:val="18"/>
        </w:rPr>
        <w:tab/>
      </w:r>
      <w:r w:rsidRPr="003F7710">
        <w:rPr>
          <w:i/>
          <w:sz w:val="18"/>
          <w:szCs w:val="18"/>
        </w:rPr>
        <w:t xml:space="preserve">R. v. Maynard </w:t>
      </w:r>
      <w:proofErr w:type="spellStart"/>
      <w:r w:rsidRPr="003F7710">
        <w:rPr>
          <w:sz w:val="18"/>
          <w:szCs w:val="18"/>
        </w:rPr>
        <w:t>Mich</w:t>
      </w:r>
      <w:proofErr w:type="spellEnd"/>
      <w:r w:rsidRPr="003F7710">
        <w:rPr>
          <w:sz w:val="18"/>
          <w:szCs w:val="18"/>
        </w:rPr>
        <w:t xml:space="preserve"> 7 Car 1 </w:t>
      </w:r>
    </w:p>
  </w:footnote>
  <w:footnote w:id="29">
    <w:p w:rsidR="00BE0CB8" w:rsidRPr="003F7710" w:rsidRDefault="00BE0CB8" w:rsidP="00ED2BBF">
      <w:pPr>
        <w:pStyle w:val="FootnoteText"/>
        <w:ind w:left="567" w:hanging="567"/>
        <w:rPr>
          <w:sz w:val="18"/>
          <w:szCs w:val="18"/>
          <w:u w:val="single"/>
        </w:rPr>
      </w:pPr>
      <w:r w:rsidRPr="003F7710">
        <w:rPr>
          <w:rStyle w:val="FootnoteReference"/>
          <w:sz w:val="18"/>
          <w:szCs w:val="18"/>
        </w:rPr>
        <w:footnoteRef/>
      </w:r>
      <w:r w:rsidRPr="003F7710">
        <w:rPr>
          <w:sz w:val="18"/>
          <w:szCs w:val="18"/>
        </w:rPr>
        <w:t xml:space="preserve"> </w:t>
      </w:r>
      <w:r w:rsidRPr="003F7710">
        <w:rPr>
          <w:sz w:val="18"/>
          <w:szCs w:val="18"/>
        </w:rPr>
        <w:tab/>
        <w:t xml:space="preserve">Thomas the Smith of Coombs cited in Davis: </w:t>
      </w:r>
      <w:r w:rsidRPr="003F7710">
        <w:rPr>
          <w:i/>
          <w:sz w:val="18"/>
          <w:szCs w:val="18"/>
        </w:rPr>
        <w:t>Mediaeval Market Morality</w:t>
      </w:r>
      <w:r w:rsidRPr="003F7710">
        <w:rPr>
          <w:sz w:val="18"/>
          <w:szCs w:val="18"/>
        </w:rPr>
        <w:t xml:space="preserve"> (2012 Cambridge UP) p 231 who purchased 6 barrels of tar for 4s 6d and sold them for 6s.   </w:t>
      </w:r>
    </w:p>
  </w:footnote>
  <w:footnote w:id="30">
    <w:p w:rsidR="00BE0CB8" w:rsidRDefault="00BE0CB8" w:rsidP="00ED2BBF">
      <w:pPr>
        <w:pStyle w:val="FootnoteText"/>
        <w:ind w:left="567" w:hanging="567"/>
      </w:pPr>
      <w:r>
        <w:rPr>
          <w:rStyle w:val="FootnoteReference"/>
        </w:rPr>
        <w:footnoteRef/>
      </w:r>
      <w:r>
        <w:t xml:space="preserve"> </w:t>
      </w:r>
      <w:r>
        <w:tab/>
      </w:r>
      <w:r w:rsidRPr="004B4699">
        <w:rPr>
          <w:sz w:val="18"/>
        </w:rPr>
        <w:t>See 16 &amp; 17 Car II c 2; 7 &amp; 8 Will III c. 36; 17 Geo III c. 35</w:t>
      </w:r>
      <w:r>
        <w:t>.</w:t>
      </w:r>
    </w:p>
  </w:footnote>
  <w:footnote w:id="31">
    <w:p w:rsidR="00BE0CB8" w:rsidRPr="00707FBB" w:rsidRDefault="00BE0CB8" w:rsidP="00707FBB">
      <w:pPr>
        <w:spacing w:after="0" w:line="240" w:lineRule="auto"/>
        <w:ind w:left="567" w:hanging="567"/>
        <w:rPr>
          <w:sz w:val="18"/>
          <w:szCs w:val="18"/>
        </w:rPr>
      </w:pPr>
      <w:r w:rsidRPr="00F4269A">
        <w:rPr>
          <w:rStyle w:val="FootnoteReference"/>
          <w:sz w:val="18"/>
          <w:szCs w:val="18"/>
        </w:rPr>
        <w:footnoteRef/>
      </w:r>
      <w:r w:rsidRPr="00707FBB">
        <w:rPr>
          <w:sz w:val="18"/>
          <w:szCs w:val="18"/>
        </w:rPr>
        <w:t xml:space="preserve"> </w:t>
      </w:r>
      <w:r w:rsidRPr="00707FBB">
        <w:rPr>
          <w:sz w:val="18"/>
          <w:szCs w:val="18"/>
        </w:rPr>
        <w:tab/>
      </w:r>
      <w:proofErr w:type="gramStart"/>
      <w:r w:rsidRPr="00707FBB">
        <w:rPr>
          <w:sz w:val="18"/>
          <w:szCs w:val="18"/>
        </w:rPr>
        <w:t>(1369) 43 ASS.</w:t>
      </w:r>
      <w:proofErr w:type="gramEnd"/>
      <w:r w:rsidRPr="00707FBB">
        <w:rPr>
          <w:sz w:val="18"/>
          <w:szCs w:val="18"/>
        </w:rPr>
        <w:t xml:space="preserve"> PL 38 and see </w:t>
      </w:r>
      <w:proofErr w:type="spellStart"/>
      <w:r w:rsidRPr="00707FBB">
        <w:rPr>
          <w:sz w:val="18"/>
          <w:szCs w:val="18"/>
        </w:rPr>
        <w:t>llingworth</w:t>
      </w:r>
      <w:proofErr w:type="spellEnd"/>
      <w:r w:rsidRPr="00707FBB">
        <w:rPr>
          <w:sz w:val="18"/>
          <w:szCs w:val="18"/>
        </w:rPr>
        <w:t xml:space="preserve">, </w:t>
      </w:r>
      <w:r w:rsidRPr="00707FBB">
        <w:rPr>
          <w:i/>
          <w:sz w:val="18"/>
          <w:szCs w:val="18"/>
        </w:rPr>
        <w:t xml:space="preserve">op. </w:t>
      </w:r>
      <w:proofErr w:type="spellStart"/>
      <w:r w:rsidRPr="00707FBB">
        <w:rPr>
          <w:i/>
          <w:sz w:val="18"/>
          <w:szCs w:val="18"/>
        </w:rPr>
        <w:t>cit</w:t>
      </w:r>
      <w:proofErr w:type="spellEnd"/>
      <w:r w:rsidRPr="00707FBB">
        <w:rPr>
          <w:i/>
          <w:sz w:val="18"/>
          <w:szCs w:val="18"/>
        </w:rPr>
        <w:t xml:space="preserve"> </w:t>
      </w:r>
      <w:r w:rsidRPr="00707FBB">
        <w:rPr>
          <w:sz w:val="18"/>
          <w:szCs w:val="18"/>
        </w:rPr>
        <w:t>pp</w:t>
      </w:r>
      <w:r w:rsidR="00AD39CB">
        <w:rPr>
          <w:sz w:val="18"/>
          <w:szCs w:val="18"/>
        </w:rPr>
        <w:t>. 16 and</w:t>
      </w:r>
      <w:r w:rsidRPr="00707FBB">
        <w:rPr>
          <w:sz w:val="18"/>
          <w:szCs w:val="18"/>
        </w:rPr>
        <w:t xml:space="preserve"> Hawkins, </w:t>
      </w:r>
      <w:r w:rsidRPr="00707FBB">
        <w:rPr>
          <w:i/>
          <w:sz w:val="18"/>
          <w:szCs w:val="18"/>
        </w:rPr>
        <w:t xml:space="preserve">Pleas of the Crown </w:t>
      </w:r>
      <w:r w:rsidRPr="00707FBB">
        <w:rPr>
          <w:sz w:val="18"/>
          <w:szCs w:val="18"/>
        </w:rPr>
        <w:t xml:space="preserve">cited </w:t>
      </w:r>
      <w:r w:rsidRPr="00707FBB">
        <w:rPr>
          <w:i/>
          <w:sz w:val="18"/>
          <w:szCs w:val="18"/>
        </w:rPr>
        <w:t>supra.</w:t>
      </w:r>
      <w:r w:rsidRPr="00707FBB">
        <w:rPr>
          <w:sz w:val="18"/>
          <w:szCs w:val="18"/>
        </w:rPr>
        <w:t xml:space="preserve"> That forestalling went beyond the necessities of life is also supported by</w:t>
      </w:r>
      <w:r w:rsidR="00AD39CB">
        <w:rPr>
          <w:sz w:val="18"/>
          <w:szCs w:val="18"/>
        </w:rPr>
        <w:t xml:space="preserve"> </w:t>
      </w:r>
      <w:r w:rsidRPr="00707FBB">
        <w:rPr>
          <w:sz w:val="18"/>
          <w:szCs w:val="18"/>
        </w:rPr>
        <w:t xml:space="preserve">Baron Parke </w:t>
      </w:r>
      <w:r w:rsidR="00AD39CB">
        <w:rPr>
          <w:sz w:val="18"/>
          <w:szCs w:val="18"/>
        </w:rPr>
        <w:t xml:space="preserve">who </w:t>
      </w:r>
      <w:r w:rsidRPr="00707FBB">
        <w:rPr>
          <w:sz w:val="18"/>
          <w:szCs w:val="18"/>
        </w:rPr>
        <w:t xml:space="preserve">seems to have recognised the distinction between forestalling and </w:t>
      </w:r>
      <w:proofErr w:type="spellStart"/>
      <w:r w:rsidRPr="00707FBB">
        <w:rPr>
          <w:sz w:val="18"/>
          <w:szCs w:val="18"/>
        </w:rPr>
        <w:t>regrating</w:t>
      </w:r>
      <w:proofErr w:type="spellEnd"/>
      <w:r w:rsidRPr="00707FBB">
        <w:rPr>
          <w:sz w:val="18"/>
          <w:szCs w:val="18"/>
        </w:rPr>
        <w:t xml:space="preserve"> on the one hand, and </w:t>
      </w:r>
      <w:proofErr w:type="spellStart"/>
      <w:r w:rsidRPr="00707FBB">
        <w:rPr>
          <w:sz w:val="18"/>
          <w:szCs w:val="18"/>
        </w:rPr>
        <w:t>ingrossing</w:t>
      </w:r>
      <w:proofErr w:type="spellEnd"/>
      <w:r w:rsidRPr="00707FBB">
        <w:rPr>
          <w:sz w:val="18"/>
          <w:szCs w:val="18"/>
        </w:rPr>
        <w:t xml:space="preserve">  on the other in </w:t>
      </w:r>
      <w:r w:rsidRPr="00707FBB">
        <w:rPr>
          <w:rFonts w:ascii="Calibri" w:hAnsi="Calibri"/>
          <w:sz w:val="18"/>
          <w:szCs w:val="18"/>
        </w:rPr>
        <w:t>an appeal from the Bombay Supreme Court</w:t>
      </w:r>
      <w:r w:rsidR="00AD39CB">
        <w:rPr>
          <w:rFonts w:ascii="Calibri" w:hAnsi="Calibri"/>
          <w:sz w:val="18"/>
          <w:szCs w:val="18"/>
        </w:rPr>
        <w:t xml:space="preserve"> involving bidding up the price of opium at auction in</w:t>
      </w:r>
      <w:r w:rsidRPr="00707FBB">
        <w:rPr>
          <w:i/>
          <w:sz w:val="18"/>
          <w:szCs w:val="18"/>
        </w:rPr>
        <w:t xml:space="preserve"> </w:t>
      </w:r>
      <w:proofErr w:type="spellStart"/>
      <w:r w:rsidRPr="00707FBB">
        <w:rPr>
          <w:i/>
          <w:sz w:val="18"/>
          <w:szCs w:val="18"/>
        </w:rPr>
        <w:t>Pettmaberdas</w:t>
      </w:r>
      <w:proofErr w:type="spellEnd"/>
      <w:r w:rsidRPr="00707FBB">
        <w:rPr>
          <w:i/>
          <w:sz w:val="18"/>
          <w:szCs w:val="18"/>
        </w:rPr>
        <w:t xml:space="preserve"> v </w:t>
      </w:r>
      <w:proofErr w:type="spellStart"/>
      <w:r w:rsidRPr="00707FBB">
        <w:rPr>
          <w:i/>
          <w:sz w:val="18"/>
          <w:szCs w:val="18"/>
        </w:rPr>
        <w:t>Thackoorseydass</w:t>
      </w:r>
      <w:proofErr w:type="spellEnd"/>
      <w:r w:rsidRPr="00707FBB">
        <w:rPr>
          <w:sz w:val="18"/>
          <w:szCs w:val="18"/>
        </w:rPr>
        <w:t xml:space="preserve">, </w:t>
      </w:r>
      <w:hyperlink r:id="rId6" w:history="1">
        <w:r w:rsidRPr="00707FBB">
          <w:rPr>
            <w:rFonts w:ascii="Calibri" w:hAnsi="Calibri"/>
            <w:sz w:val="18"/>
            <w:szCs w:val="18"/>
          </w:rPr>
          <w:t xml:space="preserve"> (1850) 7 Moo PC 239; 13 ER 873</w:t>
        </w:r>
      </w:hyperlink>
      <w:r>
        <w:rPr>
          <w:rFonts w:ascii="Calibri" w:hAnsi="Calibri"/>
          <w:sz w:val="18"/>
          <w:szCs w:val="18"/>
        </w:rPr>
        <w:t xml:space="preserve">) </w:t>
      </w:r>
      <w:r w:rsidRPr="00707FBB">
        <w:rPr>
          <w:sz w:val="18"/>
          <w:szCs w:val="18"/>
        </w:rPr>
        <w:t xml:space="preserve">observing </w:t>
      </w:r>
      <w:r w:rsidRPr="00707FBB">
        <w:rPr>
          <w:i/>
          <w:sz w:val="18"/>
          <w:szCs w:val="18"/>
        </w:rPr>
        <w:t>obiter</w:t>
      </w:r>
      <w:r w:rsidRPr="00707FBB">
        <w:rPr>
          <w:sz w:val="18"/>
          <w:szCs w:val="18"/>
        </w:rPr>
        <w:t xml:space="preserve"> (at 262):</w:t>
      </w:r>
    </w:p>
    <w:p w:rsidR="00BE0CB8" w:rsidRPr="00707FBB" w:rsidRDefault="00BE0CB8" w:rsidP="00707FBB">
      <w:pPr>
        <w:autoSpaceDE w:val="0"/>
        <w:autoSpaceDN w:val="0"/>
        <w:adjustRightInd w:val="0"/>
        <w:spacing w:after="0" w:line="240" w:lineRule="auto"/>
        <w:ind w:left="851"/>
        <w:rPr>
          <w:i/>
          <w:sz w:val="18"/>
          <w:szCs w:val="18"/>
        </w:rPr>
      </w:pPr>
      <w:r w:rsidRPr="00707FBB">
        <w:rPr>
          <w:rFonts w:cs="Times New Roman"/>
          <w:i/>
          <w:sz w:val="18"/>
          <w:szCs w:val="18"/>
        </w:rPr>
        <w:t xml:space="preserve">There is no law which prevents any person buying any quantity of a commodity at any price that he likes, whether to use himself. or to sell again in gross or by retail, or to give away, or to prevent another having it, provided always, that he does not commit the Common Law offence of forestalling and </w:t>
      </w:r>
      <w:proofErr w:type="spellStart"/>
      <w:r w:rsidRPr="00707FBB">
        <w:rPr>
          <w:rFonts w:cs="Times New Roman"/>
          <w:i/>
          <w:sz w:val="18"/>
          <w:szCs w:val="18"/>
        </w:rPr>
        <w:t>regrating</w:t>
      </w:r>
      <w:proofErr w:type="spellEnd"/>
      <w:r w:rsidRPr="00707FBB">
        <w:rPr>
          <w:rFonts w:cs="Times New Roman"/>
          <w:i/>
          <w:sz w:val="18"/>
          <w:szCs w:val="18"/>
        </w:rPr>
        <w:t xml:space="preserve">, which this is not, or </w:t>
      </w:r>
      <w:proofErr w:type="spellStart"/>
      <w:r w:rsidRPr="00707FBB">
        <w:rPr>
          <w:rFonts w:cs="Times New Roman"/>
          <w:i/>
          <w:sz w:val="18"/>
          <w:szCs w:val="18"/>
        </w:rPr>
        <w:t>ingrossing</w:t>
      </w:r>
      <w:proofErr w:type="spellEnd"/>
      <w:r w:rsidRPr="00707FBB">
        <w:rPr>
          <w:rFonts w:cs="Times New Roman"/>
          <w:i/>
          <w:sz w:val="18"/>
          <w:szCs w:val="18"/>
        </w:rPr>
        <w:t xml:space="preserve"> which the authorities show can be committed only with respect to the necessaries of life; provided, also, that he makes no false representation in order to effect the purchase.</w:t>
      </w:r>
    </w:p>
  </w:footnote>
  <w:footnote w:id="32">
    <w:p w:rsidR="00BE0CB8" w:rsidRPr="00F4269A" w:rsidRDefault="00BE0CB8" w:rsidP="00707FBB">
      <w:pPr>
        <w:pStyle w:val="FootnoteText"/>
        <w:ind w:left="567" w:hanging="567"/>
        <w:rPr>
          <w:sz w:val="18"/>
          <w:szCs w:val="18"/>
        </w:rPr>
      </w:pPr>
      <w:r w:rsidRPr="00F4269A">
        <w:rPr>
          <w:rStyle w:val="FootnoteReference"/>
          <w:sz w:val="18"/>
          <w:szCs w:val="18"/>
        </w:rPr>
        <w:footnoteRef/>
      </w:r>
      <w:r w:rsidRPr="00F4269A">
        <w:rPr>
          <w:sz w:val="18"/>
          <w:szCs w:val="18"/>
        </w:rPr>
        <w:t xml:space="preserve"> </w:t>
      </w:r>
      <w:r w:rsidRPr="00F4269A">
        <w:rPr>
          <w:sz w:val="18"/>
          <w:szCs w:val="18"/>
        </w:rPr>
        <w:tab/>
      </w:r>
      <w:proofErr w:type="gramStart"/>
      <w:r w:rsidRPr="00F4269A">
        <w:rPr>
          <w:sz w:val="18"/>
          <w:szCs w:val="18"/>
        </w:rPr>
        <w:t xml:space="preserve">S.C. 1 </w:t>
      </w:r>
      <w:proofErr w:type="spellStart"/>
      <w:r w:rsidRPr="00F4269A">
        <w:rPr>
          <w:sz w:val="18"/>
          <w:szCs w:val="18"/>
        </w:rPr>
        <w:t>Keb</w:t>
      </w:r>
      <w:proofErr w:type="spellEnd"/>
      <w:r w:rsidRPr="00F4269A">
        <w:rPr>
          <w:sz w:val="18"/>
          <w:szCs w:val="18"/>
        </w:rPr>
        <w:t xml:space="preserve"> 650.</w:t>
      </w:r>
      <w:proofErr w:type="gramEnd"/>
      <w:r w:rsidRPr="00F4269A">
        <w:rPr>
          <w:sz w:val="18"/>
          <w:szCs w:val="18"/>
        </w:rPr>
        <w:t xml:space="preserve"> </w:t>
      </w:r>
    </w:p>
  </w:footnote>
  <w:footnote w:id="33">
    <w:p w:rsidR="00BE0CB8" w:rsidRPr="00F4269A" w:rsidRDefault="00BE0CB8" w:rsidP="00640D60">
      <w:pPr>
        <w:pStyle w:val="FootnoteText"/>
        <w:ind w:left="567" w:hanging="567"/>
        <w:rPr>
          <w:sz w:val="18"/>
          <w:szCs w:val="18"/>
        </w:rPr>
      </w:pPr>
      <w:r w:rsidRPr="00F4269A">
        <w:rPr>
          <w:rStyle w:val="FootnoteReference"/>
          <w:sz w:val="18"/>
          <w:szCs w:val="18"/>
        </w:rPr>
        <w:footnoteRef/>
      </w:r>
      <w:r w:rsidRPr="00F4269A">
        <w:rPr>
          <w:sz w:val="18"/>
          <w:szCs w:val="18"/>
        </w:rPr>
        <w:t xml:space="preserve"> </w:t>
      </w:r>
      <w:r w:rsidRPr="00F4269A">
        <w:rPr>
          <w:sz w:val="18"/>
          <w:szCs w:val="18"/>
        </w:rPr>
        <w:tab/>
      </w:r>
      <w:proofErr w:type="spellStart"/>
      <w:r w:rsidRPr="00F4269A">
        <w:rPr>
          <w:sz w:val="18"/>
          <w:szCs w:val="18"/>
        </w:rPr>
        <w:t>Holdsworth</w:t>
      </w:r>
      <w:proofErr w:type="spellEnd"/>
      <w:r w:rsidRPr="00F4269A">
        <w:rPr>
          <w:sz w:val="18"/>
          <w:szCs w:val="18"/>
        </w:rPr>
        <w:t xml:space="preserve"> also refers to a combination of London publicans in 1773 which Sir John Fielding considered to be illegal: </w:t>
      </w:r>
      <w:r w:rsidRPr="00F4269A">
        <w:rPr>
          <w:i/>
          <w:iCs/>
          <w:sz w:val="18"/>
          <w:szCs w:val="18"/>
        </w:rPr>
        <w:t xml:space="preserve">op </w:t>
      </w:r>
      <w:proofErr w:type="spellStart"/>
      <w:r w:rsidRPr="00F4269A">
        <w:rPr>
          <w:i/>
          <w:iCs/>
          <w:sz w:val="18"/>
          <w:szCs w:val="18"/>
        </w:rPr>
        <w:t>cit</w:t>
      </w:r>
      <w:proofErr w:type="spellEnd"/>
      <w:r w:rsidRPr="00F4269A">
        <w:rPr>
          <w:sz w:val="18"/>
          <w:szCs w:val="18"/>
        </w:rPr>
        <w:t xml:space="preserve"> xi, 487.</w:t>
      </w:r>
    </w:p>
  </w:footnote>
  <w:footnote w:id="34">
    <w:p w:rsidR="00BE0CB8" w:rsidRPr="00F4269A" w:rsidRDefault="00BE0CB8" w:rsidP="00F4269A">
      <w:pPr>
        <w:pStyle w:val="FootnoteText"/>
        <w:ind w:left="567" w:hanging="567"/>
        <w:rPr>
          <w:sz w:val="18"/>
          <w:szCs w:val="18"/>
        </w:rPr>
      </w:pPr>
      <w:r w:rsidRPr="00F4269A">
        <w:rPr>
          <w:rStyle w:val="FootnoteReference"/>
          <w:sz w:val="18"/>
          <w:szCs w:val="18"/>
        </w:rPr>
        <w:footnoteRef/>
      </w:r>
      <w:r w:rsidRPr="00F4269A">
        <w:rPr>
          <w:sz w:val="18"/>
          <w:szCs w:val="18"/>
        </w:rPr>
        <w:t xml:space="preserve"> </w:t>
      </w:r>
      <w:r w:rsidRPr="00F4269A">
        <w:rPr>
          <w:sz w:val="18"/>
          <w:szCs w:val="18"/>
        </w:rPr>
        <w:tab/>
        <w:t xml:space="preserve">Linen gave rise to a prosecution: see the case of Alice Hall cited in </w:t>
      </w:r>
      <w:proofErr w:type="spellStart"/>
      <w:r w:rsidRPr="00F4269A">
        <w:rPr>
          <w:sz w:val="18"/>
          <w:szCs w:val="18"/>
        </w:rPr>
        <w:t>Dowdell</w:t>
      </w:r>
      <w:proofErr w:type="spellEnd"/>
      <w:r w:rsidRPr="00F4269A">
        <w:rPr>
          <w:sz w:val="18"/>
          <w:szCs w:val="18"/>
        </w:rPr>
        <w:t xml:space="preserve">: </w:t>
      </w:r>
      <w:r w:rsidRPr="00F4269A">
        <w:rPr>
          <w:i/>
          <w:sz w:val="18"/>
          <w:szCs w:val="18"/>
        </w:rPr>
        <w:t xml:space="preserve">A Hundred Years of Quarter Sessions: The Government of Middlesex from 1600 to 1760 </w:t>
      </w:r>
      <w:r w:rsidRPr="00F4269A">
        <w:rPr>
          <w:sz w:val="18"/>
          <w:szCs w:val="18"/>
        </w:rPr>
        <w:t xml:space="preserve">(Cambridge 1932) p 167 ff2. </w:t>
      </w:r>
    </w:p>
  </w:footnote>
  <w:footnote w:id="35">
    <w:p w:rsidR="00BE0CB8" w:rsidRDefault="00BE0CB8" w:rsidP="00F4269A">
      <w:pPr>
        <w:autoSpaceDE w:val="0"/>
        <w:autoSpaceDN w:val="0"/>
        <w:adjustRightInd w:val="0"/>
        <w:spacing w:after="0" w:line="240" w:lineRule="auto"/>
        <w:ind w:left="567" w:hanging="567"/>
      </w:pPr>
      <w:r w:rsidRPr="00F4269A">
        <w:rPr>
          <w:rStyle w:val="FootnoteReference"/>
          <w:sz w:val="18"/>
          <w:szCs w:val="18"/>
        </w:rPr>
        <w:footnoteRef/>
      </w:r>
      <w:r w:rsidRPr="00F4269A">
        <w:rPr>
          <w:sz w:val="18"/>
          <w:szCs w:val="18"/>
        </w:rPr>
        <w:t xml:space="preserve"> </w:t>
      </w:r>
      <w:r w:rsidRPr="00F4269A">
        <w:rPr>
          <w:sz w:val="18"/>
          <w:szCs w:val="18"/>
        </w:rPr>
        <w:tab/>
        <w:t xml:space="preserve">For silk in both its raw and spun form see 43 </w:t>
      </w:r>
      <w:proofErr w:type="spellStart"/>
      <w:r w:rsidRPr="00F4269A">
        <w:rPr>
          <w:sz w:val="18"/>
          <w:szCs w:val="18"/>
        </w:rPr>
        <w:t>Edw</w:t>
      </w:r>
      <w:proofErr w:type="spellEnd"/>
      <w:r w:rsidRPr="00F4269A">
        <w:rPr>
          <w:sz w:val="18"/>
          <w:szCs w:val="18"/>
        </w:rPr>
        <w:t xml:space="preserve"> III Roll 19 cited in Illingworth:  op </w:t>
      </w:r>
      <w:proofErr w:type="spellStart"/>
      <w:r w:rsidRPr="00F4269A">
        <w:rPr>
          <w:sz w:val="18"/>
          <w:szCs w:val="18"/>
        </w:rPr>
        <w:t>cit</w:t>
      </w:r>
      <w:proofErr w:type="spellEnd"/>
      <w:r w:rsidRPr="00F4269A">
        <w:rPr>
          <w:sz w:val="18"/>
          <w:szCs w:val="18"/>
        </w:rPr>
        <w:t xml:space="preserve">: </w:t>
      </w:r>
      <w:r w:rsidRPr="00F4269A">
        <w:rPr>
          <w:rFonts w:ascii="Calibri" w:hAnsi="Calibri" w:cs="Times New Roman"/>
          <w:color w:val="2D2D2D"/>
          <w:sz w:val="18"/>
          <w:szCs w:val="18"/>
        </w:rPr>
        <w:t>pp. 235-237.</w:t>
      </w:r>
    </w:p>
  </w:footnote>
  <w:footnote w:id="36">
    <w:p w:rsidR="00BE0CB8" w:rsidRPr="00C41925" w:rsidRDefault="00BE0CB8" w:rsidP="009D1BC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proofErr w:type="gramStart"/>
      <w:r w:rsidRPr="00C41925">
        <w:rPr>
          <w:sz w:val="18"/>
          <w:szCs w:val="18"/>
        </w:rPr>
        <w:t>Holdsworth</w:t>
      </w:r>
      <w:proofErr w:type="spellEnd"/>
      <w:r w:rsidRPr="00C41925">
        <w:rPr>
          <w:sz w:val="18"/>
          <w:szCs w:val="18"/>
        </w:rPr>
        <w:t xml:space="preserve">, </w:t>
      </w:r>
      <w:r w:rsidRPr="00C41925">
        <w:rPr>
          <w:i/>
          <w:iCs/>
          <w:sz w:val="18"/>
          <w:szCs w:val="18"/>
        </w:rPr>
        <w:t xml:space="preserve">op </w:t>
      </w:r>
      <w:proofErr w:type="spellStart"/>
      <w:r w:rsidRPr="00C41925">
        <w:rPr>
          <w:i/>
          <w:iCs/>
          <w:sz w:val="18"/>
          <w:szCs w:val="18"/>
        </w:rPr>
        <w:t>cit</w:t>
      </w:r>
      <w:proofErr w:type="spellEnd"/>
      <w:r w:rsidRPr="00C41925">
        <w:rPr>
          <w:sz w:val="18"/>
          <w:szCs w:val="18"/>
        </w:rPr>
        <w:t xml:space="preserve"> xi, 476, 486-488.</w:t>
      </w:r>
      <w:proofErr w:type="gramEnd"/>
      <w:r w:rsidRPr="00C41925">
        <w:rPr>
          <w:sz w:val="18"/>
          <w:szCs w:val="18"/>
        </w:rPr>
        <w:t xml:space="preserve"> </w:t>
      </w:r>
    </w:p>
  </w:footnote>
  <w:footnote w:id="37">
    <w:p w:rsidR="00BE0CB8" w:rsidRDefault="00BE0CB8" w:rsidP="009D1BC9">
      <w:pPr>
        <w:pStyle w:val="FootnoteText"/>
        <w:ind w:left="567" w:hanging="567"/>
      </w:pPr>
      <w:r>
        <w:rPr>
          <w:rStyle w:val="FootnoteReference"/>
        </w:rPr>
        <w:footnoteRef/>
      </w:r>
      <w:r>
        <w:t xml:space="preserve"> </w:t>
      </w:r>
      <w:r>
        <w:tab/>
      </w:r>
      <w:r w:rsidRPr="00F062CA">
        <w:rPr>
          <w:sz w:val="18"/>
          <w:szCs w:val="18"/>
        </w:rPr>
        <w:t xml:space="preserve">Adam Smith: </w:t>
      </w:r>
      <w:r w:rsidRPr="00F062CA">
        <w:rPr>
          <w:i/>
          <w:sz w:val="18"/>
          <w:szCs w:val="18"/>
        </w:rPr>
        <w:t>An Inquiry into the Nature and Causes of the Wealth of Nations</w:t>
      </w:r>
      <w:r w:rsidRPr="00F062CA">
        <w:rPr>
          <w:sz w:val="18"/>
          <w:szCs w:val="18"/>
        </w:rPr>
        <w:t xml:space="preserve">: </w:t>
      </w:r>
      <w:r>
        <w:rPr>
          <w:sz w:val="18"/>
          <w:szCs w:val="18"/>
        </w:rPr>
        <w:t xml:space="preserve">(1776) </w:t>
      </w:r>
      <w:r w:rsidRPr="00F062CA">
        <w:rPr>
          <w:i/>
          <w:sz w:val="18"/>
          <w:szCs w:val="18"/>
        </w:rPr>
        <w:t>Chapt</w:t>
      </w:r>
      <w:r w:rsidRPr="00F062CA">
        <w:rPr>
          <w:i/>
          <w:sz w:val="18"/>
        </w:rPr>
        <w:t>er V: Of Bounties: Digression concerning the Corn Trade and Corn Laws.</w:t>
      </w:r>
      <w:r>
        <w:rPr>
          <w:sz w:val="18"/>
        </w:rPr>
        <w:t xml:space="preserve"> </w:t>
      </w:r>
    </w:p>
  </w:footnote>
  <w:footnote w:id="38">
    <w:p w:rsidR="00BE0CB8" w:rsidRPr="00C643E8" w:rsidRDefault="00BE0CB8" w:rsidP="009D1BC9">
      <w:pPr>
        <w:pStyle w:val="FootnoteText"/>
        <w:ind w:left="567" w:hanging="567"/>
        <w:rPr>
          <w:sz w:val="18"/>
        </w:rPr>
      </w:pPr>
      <w:r>
        <w:rPr>
          <w:rStyle w:val="FootnoteReference"/>
        </w:rPr>
        <w:footnoteRef/>
      </w:r>
      <w:r>
        <w:t xml:space="preserve"> </w:t>
      </w:r>
      <w:r>
        <w:tab/>
      </w:r>
      <w:r w:rsidRPr="00C643E8">
        <w:rPr>
          <w:sz w:val="18"/>
        </w:rPr>
        <w:t xml:space="preserve">An analogy to which Lord Erskine took exception in </w:t>
      </w:r>
      <w:r>
        <w:rPr>
          <w:sz w:val="18"/>
        </w:rPr>
        <w:t>granting leave to proceed against Waddington: see below.</w:t>
      </w:r>
    </w:p>
  </w:footnote>
  <w:footnote w:id="39">
    <w:p w:rsidR="00BE0CB8" w:rsidRDefault="00BE0CB8" w:rsidP="009D1BC9">
      <w:pPr>
        <w:pStyle w:val="FootnoteText"/>
        <w:ind w:left="567" w:hanging="567"/>
      </w:pPr>
      <w:r>
        <w:rPr>
          <w:rStyle w:val="FootnoteReference"/>
        </w:rPr>
        <w:footnoteRef/>
      </w:r>
      <w:r>
        <w:t xml:space="preserve"> </w:t>
      </w:r>
      <w:r>
        <w:tab/>
      </w:r>
      <w:proofErr w:type="gramStart"/>
      <w:r w:rsidRPr="009D1BC9">
        <w:rPr>
          <w:sz w:val="18"/>
          <w:szCs w:val="18"/>
          <w:shd w:val="clear" w:color="auto" w:fill="FFFFFF"/>
        </w:rPr>
        <w:t>Foss, Edward (1870).</w:t>
      </w:r>
      <w:proofErr w:type="gramEnd"/>
      <w:r w:rsidRPr="009D1BC9">
        <w:rPr>
          <w:rStyle w:val="apple-converted-space"/>
          <w:rFonts w:ascii="Arial" w:hAnsi="Arial" w:cs="Arial"/>
          <w:color w:val="252525"/>
          <w:sz w:val="18"/>
          <w:szCs w:val="18"/>
          <w:shd w:val="clear" w:color="auto" w:fill="FFFFFF"/>
        </w:rPr>
        <w:t> </w:t>
      </w:r>
      <w:r w:rsidRPr="009D1BC9">
        <w:rPr>
          <w:i/>
          <w:iCs/>
          <w:sz w:val="18"/>
          <w:szCs w:val="18"/>
          <w:shd w:val="clear" w:color="auto" w:fill="FFFFFF"/>
        </w:rPr>
        <w:t>A Biographical Dictionary of the Justices of England (1066–1870)</w:t>
      </w:r>
      <w:r w:rsidRPr="009D1BC9">
        <w:rPr>
          <w:sz w:val="18"/>
          <w:szCs w:val="18"/>
          <w:shd w:val="clear" w:color="auto" w:fill="FFFFFF"/>
        </w:rPr>
        <w:t xml:space="preserve">. </w:t>
      </w:r>
      <w:proofErr w:type="spellStart"/>
      <w:r w:rsidRPr="009D1BC9">
        <w:rPr>
          <w:sz w:val="18"/>
          <w:szCs w:val="18"/>
          <w:shd w:val="clear" w:color="auto" w:fill="FFFFFF"/>
        </w:rPr>
        <w:t>Spottiswoode</w:t>
      </w:r>
      <w:proofErr w:type="spellEnd"/>
      <w:r w:rsidRPr="009D1BC9">
        <w:rPr>
          <w:sz w:val="18"/>
          <w:szCs w:val="18"/>
          <w:shd w:val="clear" w:color="auto" w:fill="FFFFFF"/>
        </w:rPr>
        <w:t xml:space="preserve"> &amp; Co. p. 471</w:t>
      </w:r>
    </w:p>
  </w:footnote>
  <w:footnote w:id="40">
    <w:p w:rsidR="00BE0CB8" w:rsidRDefault="00BE0CB8" w:rsidP="009D1BC9">
      <w:pPr>
        <w:pStyle w:val="FootnoteText"/>
        <w:ind w:left="567" w:hanging="567"/>
      </w:pPr>
      <w:r>
        <w:rPr>
          <w:rStyle w:val="FootnoteReference"/>
        </w:rPr>
        <w:footnoteRef/>
      </w:r>
      <w:r>
        <w:t xml:space="preserve"> </w:t>
      </w:r>
      <w:r>
        <w:tab/>
      </w:r>
      <w:r w:rsidRPr="009D1BC9">
        <w:rPr>
          <w:i/>
          <w:sz w:val="18"/>
        </w:rPr>
        <w:t xml:space="preserve">The </w:t>
      </w:r>
      <w:proofErr w:type="spellStart"/>
      <w:r w:rsidRPr="009D1BC9">
        <w:rPr>
          <w:i/>
          <w:sz w:val="18"/>
        </w:rPr>
        <w:t>Mansfied</w:t>
      </w:r>
      <w:proofErr w:type="spellEnd"/>
      <w:r w:rsidRPr="009D1BC9">
        <w:rPr>
          <w:i/>
          <w:sz w:val="18"/>
        </w:rPr>
        <w:t xml:space="preserve"> </w:t>
      </w:r>
      <w:proofErr w:type="spellStart"/>
      <w:proofErr w:type="gramStart"/>
      <w:r w:rsidRPr="009D1BC9">
        <w:rPr>
          <w:i/>
          <w:sz w:val="18"/>
        </w:rPr>
        <w:t>Mauscripts</w:t>
      </w:r>
      <w:proofErr w:type="spellEnd"/>
      <w:r>
        <w:rPr>
          <w:sz w:val="18"/>
        </w:rPr>
        <w:t xml:space="preserve">  (</w:t>
      </w:r>
      <w:proofErr w:type="gramEnd"/>
      <w:r>
        <w:rPr>
          <w:sz w:val="18"/>
        </w:rPr>
        <w:t>1992: Univ</w:t>
      </w:r>
      <w:r w:rsidRPr="009D1BC9">
        <w:rPr>
          <w:sz w:val="18"/>
        </w:rPr>
        <w:t>ersity of N</w:t>
      </w:r>
      <w:r>
        <w:rPr>
          <w:sz w:val="18"/>
        </w:rPr>
        <w:t xml:space="preserve">. Carolina) </w:t>
      </w:r>
      <w:r w:rsidRPr="009D1BC9">
        <w:rPr>
          <w:sz w:val="18"/>
        </w:rPr>
        <w:t>Vo</w:t>
      </w:r>
      <w:r>
        <w:rPr>
          <w:sz w:val="18"/>
        </w:rPr>
        <w:t>l</w:t>
      </w:r>
      <w:r w:rsidRPr="009D1BC9">
        <w:rPr>
          <w:sz w:val="18"/>
        </w:rPr>
        <w:t xml:space="preserve"> 2  pp 933</w:t>
      </w:r>
      <w:r>
        <w:rPr>
          <w:sz w:val="18"/>
        </w:rPr>
        <w:t>.</w:t>
      </w:r>
    </w:p>
  </w:footnote>
  <w:footnote w:id="41">
    <w:p w:rsidR="00BE0CB8" w:rsidRDefault="00BE0CB8" w:rsidP="00B406AA">
      <w:pPr>
        <w:pStyle w:val="FootnoteText"/>
        <w:ind w:left="567" w:hanging="567"/>
      </w:pPr>
      <w:r>
        <w:rPr>
          <w:rStyle w:val="FootnoteReference"/>
        </w:rPr>
        <w:footnoteRef/>
      </w:r>
      <w:r>
        <w:t xml:space="preserve"> </w:t>
      </w:r>
      <w:r>
        <w:tab/>
      </w:r>
      <w:r w:rsidRPr="00B406AA">
        <w:rPr>
          <w:sz w:val="18"/>
        </w:rPr>
        <w:t xml:space="preserve">Hay: </w:t>
      </w:r>
      <w:r w:rsidRPr="00B406AA">
        <w:rPr>
          <w:i/>
          <w:sz w:val="18"/>
        </w:rPr>
        <w:t xml:space="preserve">The State of the Market: Lord Kenyon and Mr Waddington, </w:t>
      </w:r>
      <w:r w:rsidRPr="00B406AA">
        <w:rPr>
          <w:sz w:val="18"/>
        </w:rPr>
        <w:t>Past and Present 162 (1999): 101-162 at 117</w:t>
      </w:r>
    </w:p>
  </w:footnote>
  <w:footnote w:id="42">
    <w:p w:rsidR="00BE0CB8" w:rsidRPr="009818EC" w:rsidRDefault="00BE0CB8" w:rsidP="00033D04">
      <w:pPr>
        <w:pStyle w:val="FootnoteText"/>
        <w:ind w:left="567" w:hanging="567"/>
      </w:pPr>
      <w:r>
        <w:rPr>
          <w:rStyle w:val="FootnoteReference"/>
        </w:rPr>
        <w:footnoteRef/>
      </w:r>
      <w:r>
        <w:t xml:space="preserve"> </w:t>
      </w:r>
      <w:r>
        <w:tab/>
      </w:r>
      <w:r w:rsidRPr="009818EC">
        <w:rPr>
          <w:sz w:val="18"/>
        </w:rPr>
        <w:t xml:space="preserve">Hay: </w:t>
      </w:r>
      <w:r w:rsidRPr="009818EC">
        <w:rPr>
          <w:i/>
          <w:sz w:val="18"/>
        </w:rPr>
        <w:t xml:space="preserve">op </w:t>
      </w:r>
      <w:proofErr w:type="spellStart"/>
      <w:r w:rsidRPr="009818EC">
        <w:rPr>
          <w:i/>
          <w:sz w:val="18"/>
        </w:rPr>
        <w:t>cit</w:t>
      </w:r>
      <w:proofErr w:type="spellEnd"/>
      <w:r>
        <w:rPr>
          <w:i/>
          <w:sz w:val="18"/>
        </w:rPr>
        <w:t xml:space="preserve"> </w:t>
      </w:r>
      <w:r>
        <w:rPr>
          <w:sz w:val="18"/>
        </w:rPr>
        <w:t>p. 116</w:t>
      </w:r>
    </w:p>
  </w:footnote>
  <w:footnote w:id="43">
    <w:p w:rsidR="00524150" w:rsidRPr="00524150" w:rsidRDefault="00524150" w:rsidP="00524150">
      <w:pPr>
        <w:pStyle w:val="FootnoteText"/>
        <w:ind w:left="567" w:hanging="567"/>
        <w:rPr>
          <w:sz w:val="18"/>
        </w:rPr>
      </w:pPr>
      <w:r>
        <w:rPr>
          <w:rStyle w:val="FootnoteReference"/>
        </w:rPr>
        <w:footnoteRef/>
      </w:r>
      <w:r>
        <w:t xml:space="preserve"> </w:t>
      </w:r>
      <w:r>
        <w:tab/>
      </w:r>
      <w:proofErr w:type="spellStart"/>
      <w:proofErr w:type="gramStart"/>
      <w:r w:rsidRPr="00524150">
        <w:rPr>
          <w:i/>
          <w:sz w:val="18"/>
        </w:rPr>
        <w:t>Rusby</w:t>
      </w:r>
      <w:proofErr w:type="spellEnd"/>
      <w:r w:rsidRPr="00524150">
        <w:rPr>
          <w:sz w:val="18"/>
        </w:rPr>
        <w:t xml:space="preserve"> (1800) Peake Add.</w:t>
      </w:r>
      <w:proofErr w:type="gramEnd"/>
      <w:r w:rsidRPr="00524150">
        <w:rPr>
          <w:sz w:val="18"/>
        </w:rPr>
        <w:t xml:space="preserve"> </w:t>
      </w:r>
      <w:proofErr w:type="spellStart"/>
      <w:proofErr w:type="gramStart"/>
      <w:r w:rsidRPr="00524150">
        <w:rPr>
          <w:sz w:val="18"/>
        </w:rPr>
        <w:t>Cas</w:t>
      </w:r>
      <w:proofErr w:type="spellEnd"/>
      <w:proofErr w:type="gramEnd"/>
      <w:r w:rsidRPr="00524150">
        <w:rPr>
          <w:sz w:val="18"/>
        </w:rPr>
        <w:t xml:space="preserve">. *189 </w:t>
      </w:r>
    </w:p>
  </w:footnote>
  <w:footnote w:id="44">
    <w:p w:rsidR="00BE0CB8" w:rsidRPr="0053211A" w:rsidRDefault="00BE0CB8" w:rsidP="0053211A">
      <w:pPr>
        <w:pStyle w:val="FootnoteText"/>
        <w:ind w:left="567" w:hanging="567"/>
      </w:pPr>
      <w:r>
        <w:rPr>
          <w:rStyle w:val="FootnoteReference"/>
        </w:rPr>
        <w:footnoteRef/>
      </w:r>
      <w:r>
        <w:t xml:space="preserve"> </w:t>
      </w:r>
      <w:r>
        <w:tab/>
      </w:r>
      <w:r w:rsidRPr="0053211A">
        <w:rPr>
          <w:sz w:val="18"/>
        </w:rPr>
        <w:t xml:space="preserve">EV Thompson: </w:t>
      </w:r>
      <w:r w:rsidRPr="0053211A">
        <w:rPr>
          <w:i/>
          <w:sz w:val="18"/>
        </w:rPr>
        <w:t xml:space="preserve">op </w:t>
      </w:r>
      <w:proofErr w:type="spellStart"/>
      <w:r w:rsidRPr="0053211A">
        <w:rPr>
          <w:i/>
          <w:sz w:val="18"/>
        </w:rPr>
        <w:t>cit</w:t>
      </w:r>
      <w:proofErr w:type="spellEnd"/>
      <w:r w:rsidRPr="0053211A">
        <w:rPr>
          <w:i/>
          <w:sz w:val="18"/>
        </w:rPr>
        <w:t xml:space="preserve"> </w:t>
      </w:r>
      <w:r w:rsidRPr="0053211A">
        <w:rPr>
          <w:sz w:val="18"/>
        </w:rPr>
        <w:t>p</w:t>
      </w:r>
      <w:r w:rsidRPr="0053211A">
        <w:rPr>
          <w:i/>
          <w:sz w:val="18"/>
        </w:rPr>
        <w:t xml:space="preserve"> </w:t>
      </w:r>
      <w:r w:rsidRPr="0053211A">
        <w:rPr>
          <w:sz w:val="18"/>
        </w:rPr>
        <w:t>97</w:t>
      </w:r>
      <w:r>
        <w:rPr>
          <w:sz w:val="18"/>
        </w:rPr>
        <w:t xml:space="preserve">:  </w:t>
      </w:r>
      <w:r w:rsidRPr="0053211A">
        <w:rPr>
          <w:sz w:val="18"/>
          <w:szCs w:val="18"/>
        </w:rPr>
        <w:t xml:space="preserve">Girdler: </w:t>
      </w:r>
      <w:r w:rsidRPr="0053211A">
        <w:rPr>
          <w:i/>
          <w:sz w:val="18"/>
          <w:szCs w:val="18"/>
        </w:rPr>
        <w:t xml:space="preserve">Observations on the Pernicious Consequences of Forestalling, </w:t>
      </w:r>
      <w:proofErr w:type="spellStart"/>
      <w:r w:rsidRPr="0053211A">
        <w:rPr>
          <w:i/>
          <w:sz w:val="18"/>
          <w:szCs w:val="18"/>
        </w:rPr>
        <w:t>Regrating</w:t>
      </w:r>
      <w:proofErr w:type="spellEnd"/>
      <w:r w:rsidRPr="0053211A">
        <w:rPr>
          <w:i/>
          <w:sz w:val="18"/>
          <w:szCs w:val="18"/>
        </w:rPr>
        <w:t xml:space="preserve"> and </w:t>
      </w:r>
      <w:proofErr w:type="spellStart"/>
      <w:r w:rsidRPr="0053211A">
        <w:rPr>
          <w:i/>
          <w:sz w:val="18"/>
          <w:szCs w:val="18"/>
        </w:rPr>
        <w:t>Ingrossing</w:t>
      </w:r>
      <w:proofErr w:type="spellEnd"/>
      <w:r w:rsidRPr="0053211A">
        <w:rPr>
          <w:sz w:val="18"/>
          <w:szCs w:val="18"/>
        </w:rPr>
        <w:t xml:space="preserve"> (London, 1800), p. 88.</w:t>
      </w:r>
    </w:p>
  </w:footnote>
  <w:footnote w:id="45">
    <w:p w:rsidR="00BE0CB8" w:rsidRDefault="00BE0CB8" w:rsidP="0053211A">
      <w:pPr>
        <w:pStyle w:val="FootnoteText"/>
        <w:ind w:left="567" w:hanging="567"/>
      </w:pPr>
      <w:r>
        <w:rPr>
          <w:rStyle w:val="FootnoteReference"/>
        </w:rPr>
        <w:footnoteRef/>
      </w:r>
      <w:r>
        <w:t xml:space="preserve"> </w:t>
      </w:r>
      <w:r>
        <w:tab/>
      </w:r>
      <w:proofErr w:type="gramStart"/>
      <w:r w:rsidRPr="004E2807">
        <w:rPr>
          <w:i/>
          <w:sz w:val="18"/>
        </w:rPr>
        <w:t xml:space="preserve">Op. </w:t>
      </w:r>
      <w:r>
        <w:rPr>
          <w:i/>
          <w:sz w:val="18"/>
        </w:rPr>
        <w:t>c</w:t>
      </w:r>
      <w:r w:rsidRPr="004E2807">
        <w:rPr>
          <w:i/>
          <w:sz w:val="18"/>
        </w:rPr>
        <w:t>it.</w:t>
      </w:r>
      <w:proofErr w:type="gramEnd"/>
      <w:r>
        <w:t xml:space="preserve"> </w:t>
      </w:r>
      <w:r>
        <w:tab/>
      </w:r>
    </w:p>
  </w:footnote>
  <w:footnote w:id="46">
    <w:p w:rsidR="00BE0CB8" w:rsidRDefault="00BE0CB8" w:rsidP="00FA6261">
      <w:pPr>
        <w:pStyle w:val="FootnoteText"/>
        <w:ind w:left="567" w:hanging="567"/>
      </w:pPr>
      <w:r>
        <w:rPr>
          <w:rStyle w:val="FootnoteReference"/>
        </w:rPr>
        <w:footnoteRef/>
      </w:r>
      <w:r>
        <w:t xml:space="preserve"> </w:t>
      </w:r>
      <w:r>
        <w:tab/>
      </w:r>
      <w:r w:rsidRPr="009818EC">
        <w:rPr>
          <w:sz w:val="18"/>
        </w:rPr>
        <w:t xml:space="preserve">Hay: </w:t>
      </w:r>
      <w:r w:rsidRPr="009818EC">
        <w:rPr>
          <w:i/>
          <w:sz w:val="18"/>
        </w:rPr>
        <w:t xml:space="preserve">op </w:t>
      </w:r>
      <w:proofErr w:type="spellStart"/>
      <w:r w:rsidRPr="009818EC">
        <w:rPr>
          <w:i/>
          <w:sz w:val="18"/>
        </w:rPr>
        <w:t>cit</w:t>
      </w:r>
      <w:proofErr w:type="spellEnd"/>
      <w:r>
        <w:rPr>
          <w:i/>
          <w:sz w:val="18"/>
        </w:rPr>
        <w:t xml:space="preserve"> </w:t>
      </w:r>
      <w:r>
        <w:rPr>
          <w:sz w:val="18"/>
        </w:rPr>
        <w:t>p. 117</w:t>
      </w:r>
    </w:p>
  </w:footnote>
  <w:footnote w:id="47">
    <w:p w:rsidR="00BE0CB8" w:rsidRPr="003E21F3" w:rsidRDefault="00BE0CB8" w:rsidP="0052239B">
      <w:pPr>
        <w:pStyle w:val="FootnoteText"/>
        <w:ind w:left="567" w:hanging="567"/>
        <w:rPr>
          <w:sz w:val="18"/>
          <w:szCs w:val="18"/>
        </w:rPr>
      </w:pPr>
      <w:r>
        <w:rPr>
          <w:rStyle w:val="FootnoteReference"/>
        </w:rPr>
        <w:footnoteRef/>
      </w:r>
      <w:r>
        <w:t xml:space="preserve"> </w:t>
      </w:r>
      <w:r>
        <w:tab/>
      </w:r>
      <w:r w:rsidRPr="003E21F3">
        <w:rPr>
          <w:sz w:val="18"/>
          <w:szCs w:val="18"/>
        </w:rPr>
        <w:t xml:space="preserve">The proceedings are well documented by Waddington: </w:t>
      </w:r>
      <w:r w:rsidRPr="003E21F3">
        <w:rPr>
          <w:i/>
          <w:iCs/>
          <w:sz w:val="18"/>
          <w:szCs w:val="18"/>
        </w:rPr>
        <w:t>A summary of the Trial: The King v S. F. Waddington, for purchasing hops at Worcester, also the proceedings of the Court of King’s Bench, when the rule was granted, with notes by the Defendant</w:t>
      </w:r>
      <w:r w:rsidRPr="003E21F3">
        <w:rPr>
          <w:i/>
          <w:sz w:val="18"/>
          <w:szCs w:val="18"/>
        </w:rPr>
        <w:t xml:space="preserve">, </w:t>
      </w:r>
      <w:r w:rsidRPr="003E21F3">
        <w:rPr>
          <w:sz w:val="18"/>
          <w:szCs w:val="18"/>
        </w:rPr>
        <w:t xml:space="preserve">London, 1800;  and </w:t>
      </w:r>
      <w:r w:rsidRPr="003E21F3">
        <w:rPr>
          <w:i/>
          <w:iCs/>
          <w:sz w:val="18"/>
          <w:szCs w:val="18"/>
        </w:rPr>
        <w:t> </w:t>
      </w:r>
      <w:r w:rsidRPr="003E21F3">
        <w:rPr>
          <w:i/>
          <w:sz w:val="18"/>
          <w:szCs w:val="18"/>
        </w:rPr>
        <w:t>An appeal to the British Hop-Planters</w:t>
      </w:r>
      <w:r w:rsidRPr="003E21F3">
        <w:rPr>
          <w:i/>
          <w:iCs/>
          <w:sz w:val="18"/>
          <w:szCs w:val="18"/>
        </w:rPr>
        <w:t xml:space="preserve">, </w:t>
      </w:r>
      <w:r w:rsidRPr="003E21F3">
        <w:rPr>
          <w:iCs/>
          <w:sz w:val="18"/>
          <w:szCs w:val="18"/>
        </w:rPr>
        <w:t>London, 1800.</w:t>
      </w:r>
    </w:p>
  </w:footnote>
  <w:footnote w:id="48">
    <w:p w:rsidR="00BE0CB8" w:rsidRPr="00C41925" w:rsidRDefault="00BE0CB8" w:rsidP="0052239B">
      <w:pPr>
        <w:pStyle w:val="FootnoteText"/>
        <w:ind w:left="567" w:hanging="567"/>
        <w:rPr>
          <w:sz w:val="18"/>
          <w:szCs w:val="18"/>
        </w:rPr>
      </w:pPr>
      <w:r w:rsidRPr="003E21F3">
        <w:rPr>
          <w:rStyle w:val="FootnoteReference"/>
          <w:sz w:val="18"/>
          <w:szCs w:val="18"/>
        </w:rPr>
        <w:footnoteRef/>
      </w:r>
      <w:r w:rsidRPr="003E21F3">
        <w:rPr>
          <w:sz w:val="18"/>
          <w:szCs w:val="18"/>
        </w:rPr>
        <w:t xml:space="preserve"> </w:t>
      </w:r>
      <w:r w:rsidRPr="003E21F3">
        <w:rPr>
          <w:sz w:val="18"/>
          <w:szCs w:val="18"/>
        </w:rPr>
        <w:tab/>
      </w:r>
      <w:r w:rsidRPr="00C41925">
        <w:rPr>
          <w:i/>
          <w:kern w:val="28"/>
          <w:sz w:val="18"/>
          <w:szCs w:val="18"/>
        </w:rPr>
        <w:t>“</w:t>
      </w:r>
      <w:r>
        <w:rPr>
          <w:i/>
          <w:kern w:val="28"/>
          <w:sz w:val="18"/>
          <w:szCs w:val="18"/>
        </w:rPr>
        <w:t xml:space="preserve">1. </w:t>
      </w:r>
      <w:proofErr w:type="gramStart"/>
      <w:r>
        <w:rPr>
          <w:i/>
          <w:kern w:val="28"/>
          <w:sz w:val="18"/>
          <w:szCs w:val="18"/>
        </w:rPr>
        <w:t>Spreading</w:t>
      </w:r>
      <w:proofErr w:type="gramEnd"/>
      <w:r>
        <w:rPr>
          <w:i/>
          <w:kern w:val="28"/>
          <w:sz w:val="18"/>
          <w:szCs w:val="18"/>
        </w:rPr>
        <w:t xml:space="preserve"> rumours with intent to enhance the price of hops ….  3.  </w:t>
      </w:r>
      <w:r w:rsidRPr="00C41925">
        <w:rPr>
          <w:i/>
          <w:kern w:val="28"/>
          <w:sz w:val="18"/>
          <w:szCs w:val="18"/>
        </w:rPr>
        <w:t xml:space="preserve">endeavouring </w:t>
      </w:r>
      <w:r>
        <w:rPr>
          <w:i/>
          <w:kern w:val="28"/>
          <w:sz w:val="18"/>
          <w:szCs w:val="18"/>
        </w:rPr>
        <w:t xml:space="preserve">to </w:t>
      </w:r>
      <w:proofErr w:type="spellStart"/>
      <w:r>
        <w:rPr>
          <w:i/>
          <w:kern w:val="28"/>
          <w:sz w:val="18"/>
          <w:szCs w:val="18"/>
        </w:rPr>
        <w:t>i</w:t>
      </w:r>
      <w:r w:rsidRPr="00C41925">
        <w:rPr>
          <w:i/>
          <w:kern w:val="28"/>
          <w:sz w:val="18"/>
          <w:szCs w:val="18"/>
        </w:rPr>
        <w:t>nhance</w:t>
      </w:r>
      <w:proofErr w:type="spellEnd"/>
      <w:r w:rsidRPr="00C41925">
        <w:rPr>
          <w:i/>
          <w:kern w:val="28"/>
          <w:sz w:val="18"/>
          <w:szCs w:val="18"/>
        </w:rPr>
        <w:t xml:space="preserve"> the price of hops, by persuading … persons dealing in hops and accustomed to sell hops, and having large quantities of hops for sale, not to go to any market or fair with any hops for sale, and to abstain from selling such hops for a long time, in contempt etc.</w:t>
      </w:r>
    </w:p>
  </w:footnote>
  <w:footnote w:id="49">
    <w:p w:rsidR="00BE0CB8" w:rsidRPr="00C41925" w:rsidRDefault="00BE0CB8" w:rsidP="006D6CD1">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 xml:space="preserve">Waddington, </w:t>
      </w:r>
      <w:r w:rsidRPr="00C41925">
        <w:rPr>
          <w:sz w:val="18"/>
          <w:szCs w:val="18"/>
        </w:rPr>
        <w:t>(1801) 1 East 143</w:t>
      </w:r>
      <w:r>
        <w:rPr>
          <w:sz w:val="18"/>
          <w:szCs w:val="18"/>
        </w:rPr>
        <w:t xml:space="preserve"> </w:t>
      </w:r>
      <w:r w:rsidRPr="00C41925">
        <w:rPr>
          <w:sz w:val="18"/>
          <w:szCs w:val="18"/>
        </w:rPr>
        <w:t>per Lord Kenyon CJ at 158-159</w:t>
      </w:r>
      <w:r w:rsidRPr="00C41925">
        <w:rPr>
          <w:i/>
          <w:sz w:val="18"/>
          <w:szCs w:val="18"/>
        </w:rPr>
        <w:t xml:space="preserve">: " I am perfectly satisfied that the common law remains in force with respect to offences of this nature; and in considering whether that was intended to be done away by the Act of the 12 Geo. 3, I cannot regard the resolutions entered on the Journals of the Commons House of Parliament, but must look to the Statute-Book; and there I find nothing which trenches upon what I have said, but only a repeal of certain statutes, upon none of which is this prosecution founded, but upon the common law." </w:t>
      </w:r>
    </w:p>
  </w:footnote>
  <w:footnote w:id="50">
    <w:p w:rsidR="00BE0CB8" w:rsidRDefault="00BE0CB8" w:rsidP="006D6CD1">
      <w:pPr>
        <w:pStyle w:val="FootnoteText"/>
        <w:ind w:left="567" w:hanging="567"/>
      </w:pPr>
      <w:r>
        <w:rPr>
          <w:rStyle w:val="FootnoteReference"/>
        </w:rPr>
        <w:footnoteRef/>
      </w:r>
      <w:r>
        <w:t xml:space="preserve"> </w:t>
      </w:r>
      <w:r>
        <w:tab/>
      </w:r>
      <w:r>
        <w:rPr>
          <w:sz w:val="18"/>
        </w:rPr>
        <w:t xml:space="preserve">Waddington: </w:t>
      </w:r>
      <w:r w:rsidRPr="00617C32">
        <w:rPr>
          <w:i/>
          <w:sz w:val="18"/>
        </w:rPr>
        <w:t>A Summary of the Trial :The King v SF Waddington for purchasing Hops at Worcester</w:t>
      </w:r>
      <w:r>
        <w:rPr>
          <w:sz w:val="18"/>
        </w:rPr>
        <w:t xml:space="preserve">  (1800)</w:t>
      </w:r>
    </w:p>
  </w:footnote>
  <w:footnote w:id="51">
    <w:p w:rsidR="00BE0CB8" w:rsidRPr="00C41925" w:rsidRDefault="00BE0CB8" w:rsidP="0023445C">
      <w:pPr>
        <w:pStyle w:val="Heading1"/>
        <w:numPr>
          <w:ilvl w:val="0"/>
          <w:numId w:val="0"/>
        </w:numPr>
        <w:spacing w:after="60" w:line="240" w:lineRule="auto"/>
        <w:ind w:left="567" w:hanging="567"/>
        <w:rPr>
          <w:rFonts w:asciiTheme="minorHAnsi" w:hAnsiTheme="minorHAnsi"/>
          <w:i/>
          <w:sz w:val="18"/>
          <w:szCs w:val="18"/>
        </w:rPr>
      </w:pPr>
      <w:r w:rsidRPr="00C41925">
        <w:rPr>
          <w:rStyle w:val="FootnoteReference"/>
          <w:rFonts w:asciiTheme="minorHAnsi" w:hAnsiTheme="minorHAnsi"/>
          <w:sz w:val="18"/>
          <w:szCs w:val="18"/>
        </w:rPr>
        <w:footnoteRef/>
      </w:r>
      <w:r w:rsidRPr="00C41925">
        <w:rPr>
          <w:rFonts w:asciiTheme="minorHAnsi" w:hAnsiTheme="minorHAnsi"/>
          <w:sz w:val="18"/>
          <w:szCs w:val="18"/>
        </w:rPr>
        <w:t xml:space="preserve"> </w:t>
      </w:r>
      <w:r w:rsidRPr="00C41925">
        <w:rPr>
          <w:rFonts w:asciiTheme="minorHAnsi" w:hAnsiTheme="minorHAnsi"/>
          <w:sz w:val="18"/>
          <w:szCs w:val="18"/>
        </w:rPr>
        <w:tab/>
        <w:t>"</w:t>
      </w:r>
      <w:r w:rsidRPr="00C41925">
        <w:rPr>
          <w:rFonts w:asciiTheme="minorHAnsi" w:hAnsiTheme="minorHAnsi"/>
          <w:i/>
          <w:sz w:val="18"/>
          <w:szCs w:val="18"/>
        </w:rPr>
        <w:t>… this is to me most evident, that in whatever manner the supply is made, if a number of rich persons are to buy up the whole or a considerable part of the produce from whence such supply is derived, in order to make their own private and exorbitant advantage of it to the public detriment , it will be found to be an evil of the greatest magnitude; and I am warranted in saying, that it is a most heinous offence against religion and morality, and against the established law of the country. That our law books do declare practices of the sort with which the defendant is charged to be offences at common law cannot be denied".</w:t>
      </w:r>
    </w:p>
    <w:p w:rsidR="00BE0CB8" w:rsidRPr="003F7710" w:rsidRDefault="00BE0CB8" w:rsidP="0023445C">
      <w:pPr>
        <w:pStyle w:val="Heading1"/>
        <w:numPr>
          <w:ilvl w:val="0"/>
          <w:numId w:val="0"/>
        </w:numPr>
        <w:spacing w:after="0" w:line="240" w:lineRule="auto"/>
        <w:ind w:left="567"/>
        <w:rPr>
          <w:rFonts w:asciiTheme="minorHAnsi" w:hAnsiTheme="minorHAnsi"/>
          <w:sz w:val="18"/>
          <w:szCs w:val="18"/>
        </w:rPr>
      </w:pPr>
      <w:r w:rsidRPr="00C41925">
        <w:rPr>
          <w:rFonts w:asciiTheme="minorHAnsi" w:hAnsiTheme="minorHAnsi"/>
          <w:sz w:val="18"/>
          <w:szCs w:val="18"/>
        </w:rPr>
        <w:t>He also stated: "</w:t>
      </w:r>
      <w:r w:rsidRPr="00C41925">
        <w:rPr>
          <w:rFonts w:asciiTheme="minorHAnsi" w:hAnsiTheme="minorHAnsi"/>
          <w:i/>
          <w:sz w:val="18"/>
          <w:szCs w:val="18"/>
        </w:rPr>
        <w:t xml:space="preserve">Here is a person going into the market who deals in a certain commodity. If he went there for the purpose of making his purchases in the fair course of dealing with a view of afterwards dispersing the commodity which he collected in proportion to the wants and convenience of the public, whatever profit accrues to him from the transaction, no blame is imputable to him. On the contrary, if the whole of his conduct shews plainly that he did not make his purchases in the market with this view, but that his traffic there was carried out to enhance the price of the commodity; to deprive the people of their ordinary subsistence, or else compel the to purchase it at an exorbitant price, who can deny that this is an offence of the greatest magnitude? It was the peculiar policy of this system of laws to provide for the wants of the poor labouring class of the country. If humanity alone cannot operate to this end, interest and policy must compel out attention to it. Now this defendant went into the market for the very purpose of </w:t>
      </w:r>
      <w:r w:rsidRPr="003F7710">
        <w:rPr>
          <w:rFonts w:asciiTheme="minorHAnsi" w:hAnsiTheme="minorHAnsi"/>
          <w:i/>
          <w:sz w:val="18"/>
          <w:szCs w:val="18"/>
        </w:rPr>
        <w:t>tempting the dealers in hops to raise the price of the article, offering them higher terms than they themselves proposed and were contented to take, and urging them to withhold their hops from the market in order to compel the public to pay a higher price. What defence can be made for such conduct? And how is it possible to impute an honest intention to him? We must judge a man's motives by his overt acts; and by that rule it cannot be said that the defendant's conduct was fair and honest to the public. It is our duty to take care that persons in pursuing their own particular interests do not transgress those laws which were made for the benefit of the whole community</w:t>
      </w:r>
      <w:r w:rsidRPr="003F7710">
        <w:rPr>
          <w:rFonts w:asciiTheme="minorHAnsi" w:hAnsiTheme="minorHAnsi"/>
          <w:sz w:val="18"/>
          <w:szCs w:val="18"/>
        </w:rPr>
        <w:t>."</w:t>
      </w:r>
    </w:p>
  </w:footnote>
  <w:footnote w:id="52">
    <w:p w:rsidR="00BE0CB8" w:rsidRPr="008E3C9A" w:rsidRDefault="00BE0CB8" w:rsidP="00F85CE8">
      <w:pPr>
        <w:pStyle w:val="FootnoteText"/>
        <w:ind w:left="567" w:hanging="567"/>
      </w:pPr>
      <w:r>
        <w:rPr>
          <w:rStyle w:val="FootnoteReference"/>
        </w:rPr>
        <w:footnoteRef/>
      </w:r>
      <w:r>
        <w:t xml:space="preserve"> </w:t>
      </w:r>
      <w:r>
        <w:tab/>
      </w:r>
      <w:r w:rsidRPr="00651D2A">
        <w:rPr>
          <w:i/>
          <w:sz w:val="18"/>
        </w:rPr>
        <w:t>Waddington</w:t>
      </w:r>
      <w:r>
        <w:rPr>
          <w:i/>
          <w:sz w:val="18"/>
        </w:rPr>
        <w:t xml:space="preserve">, </w:t>
      </w:r>
      <w:r w:rsidRPr="00651D2A">
        <w:rPr>
          <w:sz w:val="18"/>
        </w:rPr>
        <w:t>1 East 167.</w:t>
      </w:r>
      <w:r>
        <w:rPr>
          <w:sz w:val="18"/>
        </w:rPr>
        <w:t xml:space="preserve">  Waddington occupied an apartment outside the prison entrance on a surety of £40,000, above the apartment of Henry Hunt, a radical. It could not have been uncomfortable. Hunt describes how the turnkey’s wife, Mrs </w:t>
      </w:r>
      <w:proofErr w:type="spellStart"/>
      <w:r>
        <w:rPr>
          <w:sz w:val="18"/>
        </w:rPr>
        <w:t>Filewood</w:t>
      </w:r>
      <w:proofErr w:type="spellEnd"/>
      <w:r>
        <w:rPr>
          <w:sz w:val="18"/>
        </w:rPr>
        <w:t xml:space="preserve"> who kept his rooms “</w:t>
      </w:r>
      <w:r w:rsidRPr="006D6CD1">
        <w:rPr>
          <w:rFonts w:eastAsia="Times New Roman" w:cs="Times New Roman"/>
          <w:i/>
          <w:kern w:val="28"/>
          <w:sz w:val="18"/>
          <w:szCs w:val="18"/>
        </w:rPr>
        <w:t>was very attentive, and so communicative, that he really felt quite as comfortable as if he had been at an inn</w:t>
      </w:r>
      <w:r>
        <w:rPr>
          <w:rFonts w:eastAsia="Times New Roman" w:cs="Times New Roman"/>
          <w:i/>
          <w:kern w:val="28"/>
          <w:sz w:val="18"/>
          <w:szCs w:val="18"/>
        </w:rPr>
        <w:t>”</w:t>
      </w:r>
      <w:r>
        <w:rPr>
          <w:rFonts w:eastAsia="Times New Roman" w:cs="Times New Roman"/>
          <w:kern w:val="28"/>
          <w:sz w:val="18"/>
          <w:szCs w:val="18"/>
        </w:rPr>
        <w:t xml:space="preserve">: Hunt: </w:t>
      </w:r>
      <w:r w:rsidRPr="006D6CD1">
        <w:rPr>
          <w:rFonts w:eastAsia="Times New Roman" w:cs="Times New Roman"/>
          <w:i/>
          <w:kern w:val="28"/>
          <w:sz w:val="18"/>
          <w:szCs w:val="18"/>
        </w:rPr>
        <w:t>Memoirs of Henry Hunt Esq</w:t>
      </w:r>
      <w:r>
        <w:rPr>
          <w:rFonts w:eastAsia="Times New Roman" w:cs="Times New Roman"/>
          <w:kern w:val="28"/>
          <w:sz w:val="18"/>
          <w:szCs w:val="18"/>
        </w:rPr>
        <w:t xml:space="preserve">, (1820 Dolby ). </w:t>
      </w:r>
      <w:r>
        <w:rPr>
          <w:rFonts w:eastAsia="Times New Roman" w:cs="Times New Roman"/>
          <w:i/>
          <w:kern w:val="28"/>
          <w:sz w:val="18"/>
          <w:szCs w:val="18"/>
        </w:rPr>
        <w:tab/>
      </w:r>
      <w:r w:rsidR="008E3C9A">
        <w:rPr>
          <w:rFonts w:eastAsia="Times New Roman" w:cs="Times New Roman"/>
          <w:kern w:val="28"/>
          <w:sz w:val="18"/>
          <w:szCs w:val="18"/>
        </w:rPr>
        <w:t>On his release he returned to Kent where he was he was feted and feasted.</w:t>
      </w:r>
    </w:p>
  </w:footnote>
  <w:footnote w:id="53">
    <w:p w:rsidR="00BE0CB8" w:rsidRPr="00F85CE8" w:rsidRDefault="00BE0CB8" w:rsidP="00F85CE8">
      <w:pPr>
        <w:spacing w:after="0" w:line="240" w:lineRule="auto"/>
        <w:ind w:left="567" w:hanging="567"/>
        <w:rPr>
          <w:rFonts w:ascii="Arial" w:hAnsi="Arial" w:cs="Arial"/>
          <w:color w:val="000000"/>
          <w:shd w:val="clear" w:color="auto" w:fill="F2F2F2"/>
          <w:vertAlign w:val="superscript"/>
        </w:rPr>
      </w:pPr>
      <w:r>
        <w:rPr>
          <w:rStyle w:val="FootnoteReference"/>
        </w:rPr>
        <w:footnoteRef/>
      </w:r>
      <w:r>
        <w:t xml:space="preserve"> </w:t>
      </w:r>
      <w:r>
        <w:tab/>
      </w:r>
      <w:r w:rsidRPr="008E3C9A">
        <w:rPr>
          <w:sz w:val="18"/>
        </w:rPr>
        <w:t xml:space="preserve">Lord Campbell, </w:t>
      </w:r>
      <w:r w:rsidRPr="008E3C9A">
        <w:rPr>
          <w:i/>
          <w:sz w:val="18"/>
        </w:rPr>
        <w:t>Lives of the Chief Justices</w:t>
      </w:r>
      <w:r w:rsidRPr="008E3C9A">
        <w:rPr>
          <w:sz w:val="18"/>
        </w:rPr>
        <w:t xml:space="preserve">, (1857; </w:t>
      </w:r>
      <w:proofErr w:type="spellStart"/>
      <w:r w:rsidRPr="008E3C9A">
        <w:rPr>
          <w:sz w:val="18"/>
        </w:rPr>
        <w:t>repr</w:t>
      </w:r>
      <w:proofErr w:type="spellEnd"/>
      <w:r w:rsidRPr="008E3C9A">
        <w:rPr>
          <w:sz w:val="18"/>
        </w:rPr>
        <w:t xml:space="preserve">. </w:t>
      </w:r>
      <w:proofErr w:type="gramStart"/>
      <w:r w:rsidRPr="008E3C9A">
        <w:rPr>
          <w:sz w:val="18"/>
        </w:rPr>
        <w:t>London, 1971), Vol. iii, 138.</w:t>
      </w:r>
      <w:proofErr w:type="gramEnd"/>
      <w:r w:rsidR="008E3C9A" w:rsidRPr="008E3C9A">
        <w:rPr>
          <w:sz w:val="18"/>
        </w:rPr>
        <w:t xml:space="preserve"> </w:t>
      </w:r>
      <w:r w:rsidR="00F85CE8">
        <w:rPr>
          <w:sz w:val="18"/>
        </w:rPr>
        <w:t xml:space="preserve">Sherwin </w:t>
      </w:r>
      <w:r w:rsidR="008E3C9A">
        <w:rPr>
          <w:sz w:val="18"/>
        </w:rPr>
        <w:t xml:space="preserve">in </w:t>
      </w:r>
      <w:r w:rsidR="00F85CE8">
        <w:rPr>
          <w:sz w:val="18"/>
        </w:rPr>
        <w:t xml:space="preserve">his </w:t>
      </w:r>
      <w:r w:rsidR="00F85CE8">
        <w:rPr>
          <w:rFonts w:eastAsia="Times New Roman" w:cs="Times New Roman"/>
          <w:i/>
          <w:iCs/>
          <w:kern w:val="28"/>
          <w:sz w:val="18"/>
        </w:rPr>
        <w:t>Memoirs of the L</w:t>
      </w:r>
      <w:r w:rsidR="008E3C9A" w:rsidRPr="00F85CE8">
        <w:rPr>
          <w:rFonts w:eastAsia="Times New Roman" w:cs="Times New Roman"/>
          <w:i/>
          <w:iCs/>
          <w:kern w:val="28"/>
          <w:sz w:val="18"/>
        </w:rPr>
        <w:t>ife of Thomas Paine</w:t>
      </w:r>
      <w:r w:rsidR="008E3C9A" w:rsidRPr="00F85CE8">
        <w:rPr>
          <w:rFonts w:eastAsia="Times New Roman" w:cs="Times New Roman"/>
          <w:i/>
          <w:kern w:val="28"/>
        </w:rPr>
        <w:t> </w:t>
      </w:r>
      <w:r w:rsidR="008E3C9A" w:rsidRPr="00F85CE8">
        <w:rPr>
          <w:rFonts w:eastAsia="Times New Roman" w:cs="Times New Roman"/>
          <w:i/>
          <w:kern w:val="28"/>
          <w:sz w:val="18"/>
          <w:szCs w:val="18"/>
        </w:rPr>
        <w:t xml:space="preserve">(1819) </w:t>
      </w:r>
      <w:r w:rsidR="008E3C9A" w:rsidRPr="00F85CE8">
        <w:rPr>
          <w:rFonts w:eastAsia="Times New Roman" w:cs="Times New Roman"/>
          <w:kern w:val="28"/>
          <w:sz w:val="18"/>
          <w:szCs w:val="18"/>
        </w:rPr>
        <w:t>was even more damming, describing Lord Kenyon as</w:t>
      </w:r>
      <w:r w:rsidR="008E3C9A" w:rsidRPr="00F85CE8">
        <w:rPr>
          <w:rFonts w:eastAsia="Times New Roman" w:cs="Times New Roman"/>
          <w:i/>
          <w:kern w:val="28"/>
          <w:sz w:val="18"/>
          <w:szCs w:val="18"/>
        </w:rPr>
        <w:t xml:space="preserve"> ‘one of the most cruel, vindictive, and merciless characters that ever disgraced the bench’ . . .</w:t>
      </w:r>
      <w:r w:rsidR="00F85CE8" w:rsidRPr="00F85CE8">
        <w:rPr>
          <w:rFonts w:eastAsia="Times New Roman" w:cs="Times New Roman"/>
          <w:kern w:val="28"/>
          <w:sz w:val="18"/>
          <w:szCs w:val="18"/>
        </w:rPr>
        <w:t>who sentenced</w:t>
      </w:r>
      <w:r w:rsidR="00F85CE8" w:rsidRPr="00F85CE8">
        <w:rPr>
          <w:rFonts w:eastAsia="Times New Roman" w:cs="Times New Roman"/>
          <w:i/>
          <w:kern w:val="28"/>
          <w:sz w:val="18"/>
          <w:szCs w:val="18"/>
        </w:rPr>
        <w:t xml:space="preserve"> </w:t>
      </w:r>
      <w:r w:rsidR="008E3C9A" w:rsidRPr="00F85CE8">
        <w:rPr>
          <w:rFonts w:eastAsia="Times New Roman" w:cs="Times New Roman"/>
          <w:i/>
          <w:kern w:val="28"/>
          <w:sz w:val="18"/>
          <w:szCs w:val="18"/>
        </w:rPr>
        <w:t xml:space="preserve"> ‘this worthy and respectable man </w:t>
      </w:r>
      <w:r w:rsidR="008E3C9A" w:rsidRPr="00F85CE8">
        <w:rPr>
          <w:rFonts w:eastAsia="Times New Roman" w:cs="Times New Roman"/>
          <w:kern w:val="28"/>
          <w:sz w:val="18"/>
          <w:szCs w:val="18"/>
        </w:rPr>
        <w:t>[Waddington]</w:t>
      </w:r>
      <w:r w:rsidR="008E3C9A" w:rsidRPr="00F85CE8">
        <w:rPr>
          <w:rFonts w:eastAsia="Times New Roman" w:cs="Times New Roman"/>
          <w:i/>
          <w:kern w:val="28"/>
          <w:sz w:val="18"/>
          <w:szCs w:val="18"/>
        </w:rPr>
        <w:t xml:space="preserve"> to be imprisoned as well as fined, which, considering that it dissolved all his contracts, produced a forfeiture of his deposits, and caused a run upon his house and his bank, was, in fact, sentencing him to ruin</w:t>
      </w:r>
      <w:r w:rsidR="00F85CE8">
        <w:rPr>
          <w:rFonts w:eastAsia="Times New Roman" w:cs="Times New Roman"/>
          <w:i/>
          <w:kern w:val="28"/>
          <w:sz w:val="18"/>
          <w:szCs w:val="18"/>
        </w:rPr>
        <w:t>, and almost to actual beggary’</w:t>
      </w:r>
    </w:p>
  </w:footnote>
  <w:footnote w:id="54">
    <w:p w:rsidR="00BE0CB8" w:rsidRDefault="00BE0CB8" w:rsidP="00475464">
      <w:pPr>
        <w:pStyle w:val="FootnoteText"/>
        <w:ind w:left="567" w:hanging="567"/>
      </w:pPr>
      <w:r>
        <w:rPr>
          <w:rStyle w:val="FootnoteReference"/>
        </w:rPr>
        <w:footnoteRef/>
      </w:r>
      <w:r>
        <w:t xml:space="preserve"> </w:t>
      </w:r>
      <w:r>
        <w:tab/>
      </w:r>
      <w:r w:rsidRPr="00475464">
        <w:rPr>
          <w:sz w:val="18"/>
        </w:rPr>
        <w:t xml:space="preserve">Hay: op. </w:t>
      </w:r>
      <w:proofErr w:type="spellStart"/>
      <w:r w:rsidRPr="00475464">
        <w:rPr>
          <w:sz w:val="18"/>
        </w:rPr>
        <w:t>cit</w:t>
      </w:r>
      <w:proofErr w:type="spellEnd"/>
      <w:r w:rsidRPr="00475464">
        <w:rPr>
          <w:sz w:val="18"/>
        </w:rPr>
        <w:t xml:space="preserve"> p.147</w:t>
      </w:r>
      <w:r>
        <w:tab/>
      </w:r>
    </w:p>
  </w:footnote>
  <w:footnote w:id="55">
    <w:p w:rsidR="00BE0CB8" w:rsidRPr="002D0E3F" w:rsidRDefault="00BE0CB8" w:rsidP="002D0E3F">
      <w:pPr>
        <w:pStyle w:val="FootnoteText"/>
        <w:ind w:left="567" w:hanging="567"/>
        <w:rPr>
          <w:sz w:val="18"/>
        </w:rPr>
      </w:pPr>
      <w:r>
        <w:rPr>
          <w:rStyle w:val="FootnoteReference"/>
        </w:rPr>
        <w:footnoteRef/>
      </w:r>
      <w:r>
        <w:t xml:space="preserve"> </w:t>
      </w:r>
      <w:r>
        <w:tab/>
      </w:r>
      <w:r w:rsidRPr="002D0E3F">
        <w:rPr>
          <w:i/>
          <w:sz w:val="18"/>
        </w:rPr>
        <w:t>Times</w:t>
      </w:r>
      <w:r w:rsidRPr="002D0E3F">
        <w:rPr>
          <w:sz w:val="18"/>
        </w:rPr>
        <w:t>, 5 July 1800</w:t>
      </w:r>
      <w:r>
        <w:rPr>
          <w:sz w:val="18"/>
        </w:rPr>
        <w:t xml:space="preserve">, cited in Hay, </w:t>
      </w:r>
      <w:proofErr w:type="spellStart"/>
      <w:r w:rsidRPr="002D0E3F">
        <w:rPr>
          <w:i/>
          <w:sz w:val="18"/>
        </w:rPr>
        <w:t>op.cit</w:t>
      </w:r>
      <w:proofErr w:type="spellEnd"/>
      <w:r>
        <w:rPr>
          <w:sz w:val="18"/>
        </w:rPr>
        <w:t xml:space="preserve"> p 117</w:t>
      </w:r>
    </w:p>
  </w:footnote>
  <w:footnote w:id="56">
    <w:p w:rsidR="00524150" w:rsidRDefault="00524150" w:rsidP="00524150">
      <w:pPr>
        <w:pStyle w:val="FootnoteText"/>
        <w:ind w:left="567" w:hanging="567"/>
      </w:pPr>
      <w:r>
        <w:rPr>
          <w:rStyle w:val="FootnoteReference"/>
        </w:rPr>
        <w:footnoteRef/>
      </w:r>
      <w:r>
        <w:t xml:space="preserve"> </w:t>
      </w:r>
      <w:r>
        <w:tab/>
      </w:r>
      <w:r w:rsidRPr="003E21F3">
        <w:rPr>
          <w:sz w:val="18"/>
        </w:rPr>
        <w:t xml:space="preserve">Barnes, </w:t>
      </w:r>
      <w:r w:rsidRPr="003E21F3">
        <w:rPr>
          <w:i/>
          <w:sz w:val="18"/>
        </w:rPr>
        <w:t>History of the English Corn Laws</w:t>
      </w:r>
      <w:r w:rsidRPr="003E21F3">
        <w:rPr>
          <w:sz w:val="18"/>
        </w:rPr>
        <w:t xml:space="preserve"> (1930) 81-82.</w:t>
      </w:r>
    </w:p>
  </w:footnote>
  <w:footnote w:id="57">
    <w:p w:rsidR="00B152D7" w:rsidRPr="00E06E9A" w:rsidRDefault="00B152D7" w:rsidP="00B152D7">
      <w:pPr>
        <w:pStyle w:val="FootnoteText"/>
        <w:ind w:left="567" w:hanging="567"/>
        <w:rPr>
          <w:sz w:val="18"/>
        </w:rPr>
      </w:pPr>
      <w:r>
        <w:rPr>
          <w:rStyle w:val="FootnoteReference"/>
        </w:rPr>
        <w:footnoteRef/>
      </w:r>
      <w:r>
        <w:t xml:space="preserve"> </w:t>
      </w:r>
      <w:r>
        <w:tab/>
      </w:r>
      <w:r w:rsidRPr="00E06E9A">
        <w:rPr>
          <w:sz w:val="18"/>
        </w:rPr>
        <w:t xml:space="preserve">Hay: </w:t>
      </w:r>
      <w:r w:rsidRPr="00E06E9A">
        <w:rPr>
          <w:i/>
          <w:sz w:val="18"/>
        </w:rPr>
        <w:t>op cit.</w:t>
      </w:r>
      <w:r w:rsidRPr="00E06E9A">
        <w:rPr>
          <w:sz w:val="18"/>
        </w:rPr>
        <w:t xml:space="preserve"> p 164.</w:t>
      </w:r>
    </w:p>
  </w:footnote>
  <w:footnote w:id="58">
    <w:p w:rsidR="00BE0CB8" w:rsidRPr="00E06E9A" w:rsidRDefault="00BE0CB8" w:rsidP="00B42981">
      <w:pPr>
        <w:pStyle w:val="FootnoteText"/>
        <w:ind w:left="567" w:hanging="567"/>
        <w:rPr>
          <w:sz w:val="18"/>
        </w:rPr>
      </w:pPr>
      <w:r w:rsidRPr="00E06E9A">
        <w:rPr>
          <w:rStyle w:val="FootnoteReference"/>
          <w:sz w:val="18"/>
        </w:rPr>
        <w:footnoteRef/>
      </w:r>
      <w:r w:rsidRPr="00E06E9A">
        <w:rPr>
          <w:sz w:val="18"/>
        </w:rPr>
        <w:t xml:space="preserve"> </w:t>
      </w:r>
      <w:r w:rsidRPr="00E06E9A">
        <w:rPr>
          <w:sz w:val="18"/>
        </w:rPr>
        <w:tab/>
        <w:t>Hay</w:t>
      </w:r>
      <w:r w:rsidRPr="00E06E9A">
        <w:rPr>
          <w:i/>
          <w:sz w:val="18"/>
        </w:rPr>
        <w:t xml:space="preserve">: op </w:t>
      </w:r>
      <w:proofErr w:type="spellStart"/>
      <w:r w:rsidRPr="00E06E9A">
        <w:rPr>
          <w:i/>
          <w:sz w:val="18"/>
        </w:rPr>
        <w:t>cit</w:t>
      </w:r>
      <w:proofErr w:type="spellEnd"/>
      <w:r>
        <w:rPr>
          <w:i/>
          <w:sz w:val="18"/>
        </w:rPr>
        <w:t xml:space="preserve"> </w:t>
      </w:r>
      <w:r w:rsidRPr="00F26A46">
        <w:rPr>
          <w:sz w:val="18"/>
        </w:rPr>
        <w:t>p 156.</w:t>
      </w:r>
    </w:p>
  </w:footnote>
  <w:footnote w:id="59">
    <w:p w:rsidR="00BE0CB8" w:rsidRDefault="00BE0CB8" w:rsidP="00E627BC">
      <w:pPr>
        <w:pStyle w:val="FootnoteText"/>
        <w:ind w:left="567" w:hanging="567"/>
      </w:pPr>
      <w:r>
        <w:rPr>
          <w:rStyle w:val="FootnoteReference"/>
        </w:rPr>
        <w:footnoteRef/>
      </w:r>
      <w:r>
        <w:t xml:space="preserve"> </w:t>
      </w:r>
      <w:r>
        <w:tab/>
      </w:r>
      <w:proofErr w:type="gramStart"/>
      <w:r w:rsidRPr="00A23DD1">
        <w:rPr>
          <w:i/>
          <w:sz w:val="18"/>
          <w:szCs w:val="18"/>
        </w:rPr>
        <w:t>Waddington</w:t>
      </w:r>
      <w:r>
        <w:rPr>
          <w:sz w:val="18"/>
          <w:szCs w:val="18"/>
        </w:rPr>
        <w:t xml:space="preserve"> </w:t>
      </w:r>
      <w:r w:rsidRPr="00C41925">
        <w:rPr>
          <w:sz w:val="18"/>
          <w:szCs w:val="18"/>
        </w:rPr>
        <w:t>(1801) 1 East 143; 102 ER 56.</w:t>
      </w:r>
      <w:proofErr w:type="gramEnd"/>
    </w:p>
  </w:footnote>
  <w:footnote w:id="60">
    <w:p w:rsidR="00BE0CB8" w:rsidRPr="00350837" w:rsidRDefault="00BE0CB8" w:rsidP="00350837">
      <w:pPr>
        <w:pStyle w:val="FootnoteText"/>
        <w:ind w:left="567" w:hanging="567"/>
      </w:pPr>
      <w:r>
        <w:rPr>
          <w:rStyle w:val="FootnoteReference"/>
        </w:rPr>
        <w:footnoteRef/>
      </w:r>
      <w:r>
        <w:t xml:space="preserve"> </w:t>
      </w:r>
      <w:r>
        <w:tab/>
      </w:r>
      <w:r w:rsidRPr="00350837">
        <w:rPr>
          <w:sz w:val="18"/>
        </w:rPr>
        <w:t xml:space="preserve">Chitty: </w:t>
      </w:r>
      <w:r w:rsidRPr="00350837">
        <w:rPr>
          <w:i/>
          <w:sz w:val="18"/>
        </w:rPr>
        <w:t>Practical Treatise on Criminal Law</w:t>
      </w:r>
      <w:r>
        <w:rPr>
          <w:i/>
          <w:sz w:val="18"/>
        </w:rPr>
        <w:t xml:space="preserve"> </w:t>
      </w:r>
      <w:r>
        <w:rPr>
          <w:sz w:val="18"/>
        </w:rPr>
        <w:t>(1816)</w:t>
      </w:r>
    </w:p>
  </w:footnote>
  <w:footnote w:id="61">
    <w:p w:rsidR="00BE0CB8" w:rsidRPr="003E21F3" w:rsidRDefault="00BE0CB8" w:rsidP="003E21F3">
      <w:pPr>
        <w:pStyle w:val="FootnoteText"/>
        <w:ind w:left="567" w:hanging="567"/>
        <w:rPr>
          <w:sz w:val="18"/>
        </w:rPr>
      </w:pPr>
      <w:r>
        <w:rPr>
          <w:rStyle w:val="FootnoteReference"/>
        </w:rPr>
        <w:footnoteRef/>
      </w:r>
      <w:r>
        <w:t xml:space="preserve"> </w:t>
      </w:r>
      <w:r>
        <w:tab/>
      </w:r>
      <w:r w:rsidRPr="003E21F3">
        <w:rPr>
          <w:sz w:val="18"/>
        </w:rPr>
        <w:t xml:space="preserve">Burn, </w:t>
      </w:r>
      <w:r w:rsidRPr="003E21F3">
        <w:rPr>
          <w:i/>
          <w:sz w:val="18"/>
        </w:rPr>
        <w:t>The Justice of the Peace and Parish Officer</w:t>
      </w:r>
      <w:r w:rsidRPr="003E21F3">
        <w:rPr>
          <w:sz w:val="18"/>
        </w:rPr>
        <w:t xml:space="preserve">, 20th </w:t>
      </w:r>
      <w:proofErr w:type="spellStart"/>
      <w:r w:rsidRPr="003E21F3">
        <w:rPr>
          <w:sz w:val="18"/>
        </w:rPr>
        <w:t>ed</w:t>
      </w:r>
      <w:proofErr w:type="spellEnd"/>
      <w:r w:rsidRPr="003E21F3">
        <w:rPr>
          <w:sz w:val="18"/>
        </w:rPr>
        <w:t>, (London, 1805), Vol II, 358</w:t>
      </w:r>
    </w:p>
  </w:footnote>
  <w:footnote w:id="62">
    <w:p w:rsidR="00BE0CB8" w:rsidRDefault="00BE0CB8" w:rsidP="003E21F3">
      <w:pPr>
        <w:pStyle w:val="FootnoteText"/>
        <w:ind w:left="567" w:hanging="567"/>
      </w:pPr>
      <w:r>
        <w:rPr>
          <w:rStyle w:val="FootnoteReference"/>
        </w:rPr>
        <w:footnoteRef/>
      </w:r>
      <w:r>
        <w:t xml:space="preserve"> </w:t>
      </w:r>
      <w:r>
        <w:tab/>
      </w:r>
      <w:proofErr w:type="spellStart"/>
      <w:r w:rsidRPr="005C19CA">
        <w:rPr>
          <w:sz w:val="18"/>
          <w:szCs w:val="18"/>
        </w:rPr>
        <w:t>Archbold</w:t>
      </w:r>
      <w:proofErr w:type="spellEnd"/>
      <w:r w:rsidRPr="005C19CA">
        <w:rPr>
          <w:sz w:val="18"/>
          <w:szCs w:val="18"/>
        </w:rPr>
        <w:t xml:space="preserve">: </w:t>
      </w:r>
      <w:r w:rsidRPr="005C19CA">
        <w:rPr>
          <w:i/>
          <w:sz w:val="18"/>
          <w:szCs w:val="18"/>
        </w:rPr>
        <w:t xml:space="preserve">Pleading and Evidence in Criminal </w:t>
      </w:r>
      <w:proofErr w:type="gramStart"/>
      <w:r w:rsidRPr="005C19CA">
        <w:rPr>
          <w:i/>
          <w:sz w:val="18"/>
          <w:szCs w:val="18"/>
        </w:rPr>
        <w:t>Cases</w:t>
      </w:r>
      <w:r w:rsidRPr="005C19CA">
        <w:rPr>
          <w:sz w:val="18"/>
          <w:szCs w:val="18"/>
        </w:rPr>
        <w:t xml:space="preserve"> </w:t>
      </w:r>
      <w:r>
        <w:rPr>
          <w:sz w:val="18"/>
          <w:szCs w:val="18"/>
        </w:rPr>
        <w:t xml:space="preserve"> 3</w:t>
      </w:r>
      <w:r w:rsidRPr="005C19CA">
        <w:rPr>
          <w:sz w:val="18"/>
          <w:szCs w:val="18"/>
          <w:vertAlign w:val="superscript"/>
        </w:rPr>
        <w:t>rd</w:t>
      </w:r>
      <w:proofErr w:type="gramEnd"/>
      <w:r>
        <w:rPr>
          <w:sz w:val="18"/>
          <w:szCs w:val="18"/>
        </w:rPr>
        <w:t xml:space="preserve"> </w:t>
      </w:r>
      <w:proofErr w:type="spellStart"/>
      <w:r>
        <w:rPr>
          <w:sz w:val="18"/>
          <w:szCs w:val="18"/>
        </w:rPr>
        <w:t>ed</w:t>
      </w:r>
      <w:proofErr w:type="spellEnd"/>
      <w:r>
        <w:rPr>
          <w:sz w:val="18"/>
          <w:szCs w:val="18"/>
        </w:rPr>
        <w:t xml:space="preserve"> 1828 pp 406-408.</w:t>
      </w:r>
    </w:p>
  </w:footnote>
  <w:footnote w:id="63">
    <w:p w:rsidR="00BE0CB8" w:rsidRPr="00C41925" w:rsidRDefault="00BE0CB8" w:rsidP="00E627BC">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sz w:val="18"/>
          <w:szCs w:val="18"/>
        </w:rPr>
        <w:t xml:space="preserve">7 &amp; 8 </w:t>
      </w:r>
      <w:proofErr w:type="spellStart"/>
      <w:r w:rsidRPr="00C41925">
        <w:rPr>
          <w:sz w:val="18"/>
          <w:szCs w:val="18"/>
        </w:rPr>
        <w:t>Vict</w:t>
      </w:r>
      <w:proofErr w:type="spellEnd"/>
      <w:r w:rsidRPr="00C41925">
        <w:rPr>
          <w:sz w:val="18"/>
          <w:szCs w:val="18"/>
        </w:rPr>
        <w:t>.</w:t>
      </w:r>
      <w:proofErr w:type="gramEnd"/>
      <w:r w:rsidRPr="00C41925">
        <w:rPr>
          <w:sz w:val="18"/>
          <w:szCs w:val="18"/>
        </w:rPr>
        <w:t xml:space="preserve"> c. 24</w:t>
      </w:r>
      <w:r w:rsidR="00A87591">
        <w:rPr>
          <w:sz w:val="18"/>
          <w:szCs w:val="18"/>
        </w:rPr>
        <w:t>. The offences continued in Ireland under local legislation.</w:t>
      </w:r>
      <w:r>
        <w:rPr>
          <w:sz w:val="18"/>
          <w:szCs w:val="18"/>
        </w:rPr>
        <w:t xml:space="preserve"> </w:t>
      </w:r>
    </w:p>
  </w:footnote>
  <w:footnote w:id="64">
    <w:p w:rsidR="00DB6AA5" w:rsidRDefault="00DB6AA5" w:rsidP="00DB6AA5">
      <w:pPr>
        <w:pStyle w:val="FootnoteText"/>
        <w:ind w:left="567" w:hanging="567"/>
      </w:pPr>
      <w:r>
        <w:rPr>
          <w:rStyle w:val="FootnoteReference"/>
        </w:rPr>
        <w:footnoteRef/>
      </w:r>
      <w:r>
        <w:t xml:space="preserve"> </w:t>
      </w:r>
      <w:r>
        <w:tab/>
      </w:r>
      <w:proofErr w:type="gramStart"/>
      <w:r>
        <w:rPr>
          <w:sz w:val="18"/>
          <w:szCs w:val="18"/>
        </w:rPr>
        <w:t>(1369) 43 ASS.</w:t>
      </w:r>
      <w:proofErr w:type="gramEnd"/>
      <w:r>
        <w:rPr>
          <w:sz w:val="18"/>
          <w:szCs w:val="18"/>
        </w:rPr>
        <w:t xml:space="preserve"> PL 38 and see </w:t>
      </w:r>
      <w:proofErr w:type="spellStart"/>
      <w:r>
        <w:rPr>
          <w:sz w:val="18"/>
          <w:szCs w:val="18"/>
        </w:rPr>
        <w:t>llingworth</w:t>
      </w:r>
      <w:proofErr w:type="spellEnd"/>
      <w:r>
        <w:rPr>
          <w:sz w:val="18"/>
          <w:szCs w:val="18"/>
        </w:rPr>
        <w:t xml:space="preserve">, </w:t>
      </w:r>
      <w:r>
        <w:rPr>
          <w:i/>
          <w:sz w:val="18"/>
          <w:szCs w:val="18"/>
        </w:rPr>
        <w:t xml:space="preserve">op. </w:t>
      </w:r>
      <w:proofErr w:type="spellStart"/>
      <w:r>
        <w:rPr>
          <w:i/>
          <w:sz w:val="18"/>
          <w:szCs w:val="18"/>
        </w:rPr>
        <w:t>cit</w:t>
      </w:r>
      <w:proofErr w:type="spellEnd"/>
      <w:r>
        <w:rPr>
          <w:i/>
          <w:sz w:val="18"/>
          <w:szCs w:val="18"/>
        </w:rPr>
        <w:t xml:space="preserve"> </w:t>
      </w:r>
      <w:r>
        <w:rPr>
          <w:sz w:val="18"/>
          <w:szCs w:val="18"/>
        </w:rPr>
        <w:t>pp 16</w:t>
      </w:r>
    </w:p>
  </w:footnote>
  <w:footnote w:id="65">
    <w:p w:rsidR="00BE0CB8" w:rsidRDefault="00BE0CB8" w:rsidP="00F26A46">
      <w:pPr>
        <w:pStyle w:val="FootnoteText"/>
        <w:ind w:left="567" w:hanging="567"/>
      </w:pPr>
      <w:r>
        <w:rPr>
          <w:rStyle w:val="FootnoteReference"/>
        </w:rPr>
        <w:footnoteRef/>
      </w:r>
      <w:r>
        <w:t xml:space="preserve"> </w:t>
      </w:r>
      <w:r>
        <w:tab/>
      </w:r>
      <w:r w:rsidRPr="00553070">
        <w:rPr>
          <w:sz w:val="18"/>
        </w:rPr>
        <w:t>Jenks</w:t>
      </w:r>
      <w:r w:rsidRPr="00553070">
        <w:rPr>
          <w:i/>
          <w:sz w:val="18"/>
        </w:rPr>
        <w:t xml:space="preserve"> </w:t>
      </w:r>
      <w:r w:rsidRPr="00553070">
        <w:rPr>
          <w:sz w:val="18"/>
        </w:rPr>
        <w:t>1</w:t>
      </w:r>
      <w:r w:rsidRPr="00553070">
        <w:rPr>
          <w:sz w:val="18"/>
          <w:vertAlign w:val="superscript"/>
        </w:rPr>
        <w:t>st</w:t>
      </w:r>
      <w:r w:rsidRPr="00553070">
        <w:rPr>
          <w:sz w:val="18"/>
        </w:rPr>
        <w:t xml:space="preserve"> Cent. Case XC111. (1771 3</w:t>
      </w:r>
      <w:r w:rsidRPr="00553070">
        <w:rPr>
          <w:sz w:val="18"/>
          <w:vertAlign w:val="superscript"/>
        </w:rPr>
        <w:t>rd</w:t>
      </w:r>
      <w:r w:rsidRPr="00553070">
        <w:rPr>
          <w:sz w:val="18"/>
        </w:rPr>
        <w:t xml:space="preserve"> </w:t>
      </w:r>
      <w:proofErr w:type="gramStart"/>
      <w:r w:rsidRPr="00553070">
        <w:rPr>
          <w:sz w:val="18"/>
        </w:rPr>
        <w:t>ed</w:t>
      </w:r>
      <w:proofErr w:type="gramEnd"/>
      <w:r w:rsidRPr="00553070">
        <w:rPr>
          <w:sz w:val="18"/>
        </w:rPr>
        <w:t>.) states: “</w:t>
      </w:r>
      <w:r w:rsidRPr="00553070">
        <w:rPr>
          <w:i/>
          <w:sz w:val="18"/>
        </w:rPr>
        <w:t xml:space="preserve">An alien goes to </w:t>
      </w:r>
      <w:proofErr w:type="spellStart"/>
      <w:r w:rsidRPr="00553070">
        <w:rPr>
          <w:i/>
          <w:sz w:val="18"/>
        </w:rPr>
        <w:t>Coteswold</w:t>
      </w:r>
      <w:proofErr w:type="spellEnd"/>
      <w:r w:rsidRPr="00553070">
        <w:rPr>
          <w:i/>
          <w:sz w:val="18"/>
        </w:rPr>
        <w:t xml:space="preserve"> and there falsely publishes that so much wool was already transported to parts beyond the seas, that they would buy no more this year; and the publishing of this false report was to the intent that the price of wool should fall; this alien , for this falsity, was indicted , convicted, fined, ransomed and imprisoned</w:t>
      </w:r>
      <w:r w:rsidRPr="00553070">
        <w:rPr>
          <w:sz w:val="18"/>
        </w:rPr>
        <w:t>.</w:t>
      </w:r>
      <w:r>
        <w:t>”</w:t>
      </w:r>
    </w:p>
  </w:footnote>
  <w:footnote w:id="66">
    <w:p w:rsidR="00BE0CB8" w:rsidRPr="00E8311D" w:rsidRDefault="00BE0CB8" w:rsidP="00F26A46">
      <w:pPr>
        <w:pStyle w:val="FootnoteText"/>
        <w:ind w:left="567" w:hanging="567"/>
      </w:pPr>
      <w:r>
        <w:rPr>
          <w:rStyle w:val="FootnoteReference"/>
        </w:rPr>
        <w:footnoteRef/>
      </w:r>
      <w:r>
        <w:t xml:space="preserve"> </w:t>
      </w:r>
      <w:r>
        <w:tab/>
      </w:r>
      <w:proofErr w:type="spellStart"/>
      <w:proofErr w:type="gramStart"/>
      <w:r w:rsidRPr="00E8311D">
        <w:rPr>
          <w:i/>
          <w:sz w:val="18"/>
        </w:rPr>
        <w:t>Hilbers</w:t>
      </w:r>
      <w:proofErr w:type="spellEnd"/>
      <w:r w:rsidRPr="00E8311D">
        <w:rPr>
          <w:i/>
          <w:sz w:val="18"/>
        </w:rPr>
        <w:t xml:space="preserve"> </w:t>
      </w:r>
      <w:r w:rsidRPr="00E8311D">
        <w:rPr>
          <w:sz w:val="18"/>
        </w:rPr>
        <w:t>(181</w:t>
      </w:r>
      <w:r>
        <w:rPr>
          <w:sz w:val="18"/>
        </w:rPr>
        <w:t>8) 2 Chit.</w:t>
      </w:r>
      <w:proofErr w:type="gramEnd"/>
      <w:r w:rsidRPr="00E8311D">
        <w:rPr>
          <w:sz w:val="18"/>
        </w:rPr>
        <w:t xml:space="preserve"> 163</w:t>
      </w:r>
      <w:r w:rsidRPr="00E8311D">
        <w:rPr>
          <w:i/>
          <w:sz w:val="18"/>
        </w:rPr>
        <w:t>.</w:t>
      </w:r>
      <w:r>
        <w:rPr>
          <w:sz w:val="18"/>
        </w:rPr>
        <w:t xml:space="preserve"> </w:t>
      </w:r>
      <w:proofErr w:type="spellStart"/>
      <w:r>
        <w:rPr>
          <w:sz w:val="18"/>
        </w:rPr>
        <w:t>Hilbers</w:t>
      </w:r>
      <w:proofErr w:type="spellEnd"/>
      <w:r>
        <w:rPr>
          <w:sz w:val="18"/>
        </w:rPr>
        <w:t xml:space="preserve"> was also indicted for monopolising, which was quashed as an offence not known to common law. He was discharged as there was no evidence that he had conspired with anybody. </w:t>
      </w:r>
    </w:p>
  </w:footnote>
  <w:footnote w:id="67">
    <w:p w:rsidR="00BE0CB8" w:rsidRPr="0038338C" w:rsidRDefault="00BE0CB8" w:rsidP="00E627BC">
      <w:pPr>
        <w:pStyle w:val="FootnoteText"/>
        <w:ind w:left="567" w:hanging="567"/>
        <w:rPr>
          <w:sz w:val="18"/>
        </w:rPr>
      </w:pPr>
      <w:r>
        <w:rPr>
          <w:rStyle w:val="FootnoteReference"/>
        </w:rPr>
        <w:footnoteRef/>
      </w:r>
      <w:r>
        <w:t xml:space="preserve"> </w:t>
      </w:r>
      <w:r>
        <w:tab/>
      </w:r>
      <w:r w:rsidRPr="0038338C">
        <w:rPr>
          <w:i/>
          <w:sz w:val="18"/>
        </w:rPr>
        <w:t>Interpretation Act</w:t>
      </w:r>
      <w:r w:rsidRPr="0038338C">
        <w:rPr>
          <w:sz w:val="18"/>
        </w:rPr>
        <w:t xml:space="preserve"> 1889, s. 38 and see </w:t>
      </w:r>
      <w:proofErr w:type="spellStart"/>
      <w:r w:rsidRPr="0038338C">
        <w:rPr>
          <w:sz w:val="18"/>
        </w:rPr>
        <w:t>Bennion</w:t>
      </w:r>
      <w:proofErr w:type="spellEnd"/>
      <w:r w:rsidRPr="0038338C">
        <w:rPr>
          <w:sz w:val="18"/>
        </w:rPr>
        <w:t xml:space="preserve">: </w:t>
      </w:r>
      <w:r w:rsidRPr="00AD39CB">
        <w:rPr>
          <w:i/>
          <w:sz w:val="18"/>
        </w:rPr>
        <w:t>Statutory Interpretation</w:t>
      </w:r>
      <w:r w:rsidRPr="00AD39CB">
        <w:rPr>
          <w:sz w:val="18"/>
        </w:rPr>
        <w:t xml:space="preserve"> (2002) p 257 et seq.</w:t>
      </w:r>
    </w:p>
  </w:footnote>
  <w:footnote w:id="68">
    <w:p w:rsidR="00BE0CB8" w:rsidRDefault="00BE0CB8" w:rsidP="00E627BC">
      <w:pPr>
        <w:pStyle w:val="FootnoteText"/>
        <w:ind w:left="567" w:hanging="567"/>
      </w:pPr>
      <w:r>
        <w:rPr>
          <w:rStyle w:val="FootnoteReference"/>
        </w:rPr>
        <w:footnoteRef/>
      </w:r>
      <w:r>
        <w:t xml:space="preserve"> </w:t>
      </w:r>
      <w:r>
        <w:tab/>
      </w:r>
      <w:proofErr w:type="spellStart"/>
      <w:r w:rsidRPr="00E627BC">
        <w:rPr>
          <w:sz w:val="18"/>
        </w:rPr>
        <w:t>Archbold</w:t>
      </w:r>
      <w:proofErr w:type="spellEnd"/>
      <w:r w:rsidRPr="00E627BC">
        <w:rPr>
          <w:sz w:val="18"/>
        </w:rPr>
        <w:t>: 1966 36</w:t>
      </w:r>
      <w:r w:rsidRPr="00E627BC">
        <w:rPr>
          <w:sz w:val="18"/>
          <w:vertAlign w:val="superscript"/>
        </w:rPr>
        <w:t>th</w:t>
      </w:r>
      <w:r w:rsidRPr="00E627BC">
        <w:rPr>
          <w:sz w:val="18"/>
        </w:rPr>
        <w:t xml:space="preserve"> </w:t>
      </w:r>
      <w:proofErr w:type="spellStart"/>
      <w:r w:rsidRPr="00E627BC">
        <w:rPr>
          <w:sz w:val="18"/>
        </w:rPr>
        <w:t>ed</w:t>
      </w:r>
      <w:proofErr w:type="spellEnd"/>
      <w:r w:rsidRPr="00E627BC">
        <w:rPr>
          <w:sz w:val="18"/>
        </w:rPr>
        <w:t xml:space="preserve"> </w:t>
      </w:r>
      <w:r>
        <w:rPr>
          <w:sz w:val="18"/>
        </w:rPr>
        <w:t xml:space="preserve"> §4066</w:t>
      </w:r>
    </w:p>
  </w:footnote>
  <w:footnote w:id="69">
    <w:p w:rsidR="00BE0CB8" w:rsidRDefault="00BE0CB8" w:rsidP="00E627BC">
      <w:pPr>
        <w:pStyle w:val="FootnoteText"/>
        <w:ind w:left="567" w:hanging="567"/>
      </w:pPr>
      <w:r w:rsidRPr="0038338C">
        <w:rPr>
          <w:rStyle w:val="FootnoteReference"/>
          <w:sz w:val="18"/>
        </w:rPr>
        <w:footnoteRef/>
      </w:r>
      <w:r w:rsidRPr="0038338C">
        <w:rPr>
          <w:sz w:val="18"/>
        </w:rPr>
        <w:t xml:space="preserve"> </w:t>
      </w:r>
      <w:r w:rsidRPr="0038338C">
        <w:rPr>
          <w:sz w:val="18"/>
        </w:rPr>
        <w:tab/>
        <w:t>Halsbury’s Laws of England: (1sr ed. 1902) Vol IX, §1139; (2</w:t>
      </w:r>
      <w:r w:rsidRPr="0038338C">
        <w:rPr>
          <w:sz w:val="18"/>
          <w:vertAlign w:val="superscript"/>
        </w:rPr>
        <w:t>nd</w:t>
      </w:r>
      <w:r w:rsidRPr="0038338C">
        <w:rPr>
          <w:sz w:val="18"/>
        </w:rPr>
        <w:t xml:space="preserve"> </w:t>
      </w:r>
      <w:proofErr w:type="spellStart"/>
      <w:r w:rsidRPr="0038338C">
        <w:rPr>
          <w:sz w:val="18"/>
        </w:rPr>
        <w:t>ed</w:t>
      </w:r>
      <w:proofErr w:type="spellEnd"/>
      <w:r w:rsidRPr="0038338C">
        <w:rPr>
          <w:sz w:val="18"/>
        </w:rPr>
        <w:t xml:space="preserve">: 1933) Vol </w:t>
      </w:r>
      <w:proofErr w:type="gramStart"/>
      <w:r w:rsidRPr="0038338C">
        <w:rPr>
          <w:sz w:val="18"/>
        </w:rPr>
        <w:t>IX  §</w:t>
      </w:r>
      <w:proofErr w:type="gramEnd"/>
      <w:r w:rsidRPr="0038338C">
        <w:rPr>
          <w:sz w:val="18"/>
        </w:rPr>
        <w:t xml:space="preserve"> 715; (3</w:t>
      </w:r>
      <w:r w:rsidRPr="0038338C">
        <w:rPr>
          <w:sz w:val="18"/>
          <w:vertAlign w:val="superscript"/>
        </w:rPr>
        <w:t>rd</w:t>
      </w:r>
      <w:r w:rsidRPr="0038338C">
        <w:rPr>
          <w:sz w:val="18"/>
        </w:rPr>
        <w:t xml:space="preserve"> </w:t>
      </w:r>
      <w:proofErr w:type="spellStart"/>
      <w:r w:rsidRPr="0038338C">
        <w:rPr>
          <w:sz w:val="18"/>
        </w:rPr>
        <w:t>ed</w:t>
      </w:r>
      <w:proofErr w:type="spellEnd"/>
      <w:r w:rsidRPr="0038338C">
        <w:rPr>
          <w:sz w:val="18"/>
        </w:rPr>
        <w:t xml:space="preserve"> 1955) Vol 10, §</w:t>
      </w:r>
      <w:r>
        <w:rPr>
          <w:sz w:val="18"/>
        </w:rPr>
        <w:t>1310. No amendment is made in any of the cumulative supplements up to 1973.</w:t>
      </w:r>
    </w:p>
  </w:footnote>
  <w:footnote w:id="70">
    <w:p w:rsidR="00BE0CB8" w:rsidRPr="003F7710" w:rsidRDefault="00BE0CB8" w:rsidP="00764854">
      <w:pPr>
        <w:pStyle w:val="FootnoteText"/>
        <w:ind w:left="567" w:hanging="567"/>
        <w:rPr>
          <w:sz w:val="18"/>
          <w:szCs w:val="18"/>
        </w:rPr>
      </w:pPr>
      <w:r w:rsidRPr="003F7710">
        <w:rPr>
          <w:rStyle w:val="FootnoteReference"/>
          <w:sz w:val="18"/>
          <w:szCs w:val="18"/>
        </w:rPr>
        <w:footnoteRef/>
      </w:r>
      <w:r w:rsidRPr="003F7710">
        <w:rPr>
          <w:sz w:val="18"/>
          <w:szCs w:val="18"/>
        </w:rPr>
        <w:t xml:space="preserve"> </w:t>
      </w:r>
      <w:r w:rsidRPr="003F7710">
        <w:rPr>
          <w:sz w:val="18"/>
          <w:szCs w:val="18"/>
        </w:rPr>
        <w:tab/>
      </w:r>
      <w:r w:rsidRPr="003F7710">
        <w:rPr>
          <w:i/>
          <w:sz w:val="18"/>
          <w:szCs w:val="18"/>
        </w:rPr>
        <w:t xml:space="preserve">R. v. De </w:t>
      </w:r>
      <w:proofErr w:type="spellStart"/>
      <w:r w:rsidRPr="003F7710">
        <w:rPr>
          <w:i/>
          <w:sz w:val="18"/>
          <w:szCs w:val="18"/>
        </w:rPr>
        <w:t>Berenger</w:t>
      </w:r>
      <w:proofErr w:type="spellEnd"/>
      <w:r w:rsidRPr="003F7710">
        <w:rPr>
          <w:sz w:val="18"/>
          <w:szCs w:val="18"/>
        </w:rPr>
        <w:t xml:space="preserve"> (1814) 3 M&amp;S 67</w:t>
      </w:r>
    </w:p>
  </w:footnote>
  <w:footnote w:id="71">
    <w:p w:rsidR="00BE0CB8" w:rsidRPr="003F7710" w:rsidRDefault="00BE0CB8" w:rsidP="00764854">
      <w:pPr>
        <w:pStyle w:val="FootnoteText"/>
        <w:ind w:left="567" w:hanging="567"/>
        <w:rPr>
          <w:sz w:val="18"/>
          <w:szCs w:val="18"/>
        </w:rPr>
      </w:pPr>
      <w:r w:rsidRPr="003F7710">
        <w:rPr>
          <w:rStyle w:val="FootnoteReference"/>
          <w:sz w:val="18"/>
          <w:szCs w:val="18"/>
        </w:rPr>
        <w:footnoteRef/>
      </w:r>
      <w:r w:rsidRPr="003F7710">
        <w:rPr>
          <w:sz w:val="18"/>
          <w:szCs w:val="18"/>
        </w:rPr>
        <w:t xml:space="preserve"> </w:t>
      </w:r>
      <w:r w:rsidRPr="003F7710">
        <w:rPr>
          <w:sz w:val="18"/>
          <w:szCs w:val="18"/>
        </w:rPr>
        <w:tab/>
        <w:t xml:space="preserve">Cochrane is said by some to have been one of the models for Patrick O’Brien’s Jack Aubrey and CF Forrester’s </w:t>
      </w:r>
      <w:proofErr w:type="spellStart"/>
      <w:r w:rsidRPr="003F7710">
        <w:rPr>
          <w:sz w:val="18"/>
          <w:szCs w:val="18"/>
        </w:rPr>
        <w:t>Hornblower</w:t>
      </w:r>
      <w:proofErr w:type="spellEnd"/>
      <w:r w:rsidRPr="003F7710">
        <w:rPr>
          <w:sz w:val="18"/>
          <w:szCs w:val="18"/>
        </w:rPr>
        <w:t>.  Having been stripped of his knighthood, fined £1,000  and served his 12 month sentence, he went to South America where was offered command of the Chilean navy and helped liberate Chile, Peru and Brazil from their colonial masters before joining the Greek war for independence. He was pardoned in 1832</w:t>
      </w:r>
      <w:proofErr w:type="gramStart"/>
      <w:r w:rsidR="00AD39CB">
        <w:rPr>
          <w:sz w:val="18"/>
          <w:szCs w:val="18"/>
        </w:rPr>
        <w:t xml:space="preserve">, </w:t>
      </w:r>
      <w:r w:rsidRPr="003F7710">
        <w:rPr>
          <w:sz w:val="18"/>
          <w:szCs w:val="18"/>
        </w:rPr>
        <w:t xml:space="preserve"> reinstated</w:t>
      </w:r>
      <w:proofErr w:type="gramEnd"/>
      <w:r w:rsidRPr="003F7710">
        <w:rPr>
          <w:sz w:val="18"/>
          <w:szCs w:val="18"/>
        </w:rPr>
        <w:t xml:space="preserve"> in the Navy list as Rear Admiral of the Blue, and in 1847 restored to the Order of the Bath.</w:t>
      </w:r>
    </w:p>
  </w:footnote>
  <w:footnote w:id="72">
    <w:p w:rsidR="00BE0CB8" w:rsidRPr="003F7710" w:rsidRDefault="00BE0CB8" w:rsidP="00764854">
      <w:pPr>
        <w:pStyle w:val="FootnoteText"/>
        <w:ind w:left="567" w:hanging="567"/>
        <w:rPr>
          <w:sz w:val="18"/>
          <w:szCs w:val="18"/>
        </w:rPr>
      </w:pPr>
      <w:r w:rsidRPr="003F7710">
        <w:rPr>
          <w:rStyle w:val="FootnoteReference"/>
          <w:sz w:val="18"/>
          <w:szCs w:val="18"/>
        </w:rPr>
        <w:footnoteRef/>
      </w:r>
      <w:r w:rsidRPr="003F7710">
        <w:rPr>
          <w:sz w:val="18"/>
          <w:szCs w:val="18"/>
        </w:rPr>
        <w:t xml:space="preserve"> </w:t>
      </w:r>
      <w:r w:rsidRPr="003F7710">
        <w:rPr>
          <w:sz w:val="18"/>
          <w:szCs w:val="18"/>
        </w:rPr>
        <w:tab/>
        <w:t xml:space="preserve">E.g. see </w:t>
      </w:r>
      <w:r w:rsidRPr="003F7710">
        <w:rPr>
          <w:i/>
          <w:iCs/>
          <w:sz w:val="18"/>
          <w:szCs w:val="18"/>
          <w:lang w:val="sv-SE"/>
        </w:rPr>
        <w:t xml:space="preserve">Knuller, op cit </w:t>
      </w:r>
      <w:r w:rsidRPr="003F7710">
        <w:rPr>
          <w:sz w:val="18"/>
          <w:szCs w:val="18"/>
          <w:lang w:val="sv-SE"/>
        </w:rPr>
        <w:t>477F – 478F per Lord Diplock.</w:t>
      </w:r>
      <w:r>
        <w:rPr>
          <w:sz w:val="18"/>
          <w:szCs w:val="18"/>
          <w:lang w:val="sv-SE"/>
        </w:rPr>
        <w:t xml:space="preserve"> </w:t>
      </w:r>
    </w:p>
  </w:footnote>
  <w:footnote w:id="73">
    <w:p w:rsidR="00BE0CB8" w:rsidRDefault="00BE0CB8" w:rsidP="00764854">
      <w:pPr>
        <w:pStyle w:val="FootnoteText"/>
        <w:ind w:left="567" w:hanging="567"/>
      </w:pPr>
      <w:r>
        <w:rPr>
          <w:rStyle w:val="FootnoteReference"/>
        </w:rPr>
        <w:footnoteRef/>
      </w:r>
      <w:r>
        <w:t xml:space="preserve"> </w:t>
      </w:r>
      <w:r>
        <w:tab/>
      </w:r>
      <w:r w:rsidRPr="00723D1C">
        <w:rPr>
          <w:sz w:val="18"/>
        </w:rPr>
        <w:t xml:space="preserve">Gurney: </w:t>
      </w:r>
      <w:r w:rsidRPr="00723D1C">
        <w:rPr>
          <w:i/>
          <w:sz w:val="18"/>
        </w:rPr>
        <w:t xml:space="preserve">The Trial of </w:t>
      </w:r>
      <w:proofErr w:type="gramStart"/>
      <w:r w:rsidRPr="00723D1C">
        <w:rPr>
          <w:i/>
          <w:sz w:val="18"/>
        </w:rPr>
        <w:t>Charles  Random</w:t>
      </w:r>
      <w:proofErr w:type="gramEnd"/>
      <w:r w:rsidRPr="00723D1C">
        <w:rPr>
          <w:i/>
          <w:sz w:val="18"/>
        </w:rPr>
        <w:t xml:space="preserve"> De </w:t>
      </w:r>
      <w:proofErr w:type="spellStart"/>
      <w:r w:rsidRPr="00723D1C">
        <w:rPr>
          <w:i/>
          <w:sz w:val="18"/>
        </w:rPr>
        <w:t>Berenger</w:t>
      </w:r>
      <w:proofErr w:type="spellEnd"/>
      <w:r w:rsidRPr="00723D1C">
        <w:rPr>
          <w:i/>
          <w:sz w:val="18"/>
        </w:rPr>
        <w:t xml:space="preserve"> (and Others) </w:t>
      </w:r>
      <w:r w:rsidRPr="00723D1C">
        <w:rPr>
          <w:sz w:val="18"/>
        </w:rPr>
        <w:t xml:space="preserve">(1814) </w:t>
      </w:r>
      <w:r>
        <w:rPr>
          <w:sz w:val="18"/>
        </w:rPr>
        <w:t xml:space="preserve"> at 53  5 </w:t>
      </w:r>
      <w:r w:rsidRPr="00723D1C">
        <w:rPr>
          <w:i/>
          <w:sz w:val="18"/>
        </w:rPr>
        <w:t>et seq.</w:t>
      </w:r>
    </w:p>
  </w:footnote>
  <w:footnote w:id="74">
    <w:p w:rsidR="00BE0CB8" w:rsidRPr="00BE0CB8" w:rsidRDefault="00BE0CB8" w:rsidP="00BE0CB8">
      <w:pPr>
        <w:pStyle w:val="FootnoteText"/>
        <w:ind w:left="567" w:hanging="567"/>
      </w:pPr>
      <w:r>
        <w:rPr>
          <w:rStyle w:val="FootnoteReference"/>
        </w:rPr>
        <w:footnoteRef/>
      </w:r>
      <w:r>
        <w:t xml:space="preserve"> </w:t>
      </w:r>
      <w:r>
        <w:tab/>
      </w:r>
      <w:proofErr w:type="spellStart"/>
      <w:r w:rsidRPr="00BE0CB8">
        <w:rPr>
          <w:i/>
          <w:sz w:val="18"/>
        </w:rPr>
        <w:t>Aspinall</w:t>
      </w:r>
      <w:proofErr w:type="spellEnd"/>
      <w:r>
        <w:rPr>
          <w:i/>
          <w:sz w:val="18"/>
        </w:rPr>
        <w:t xml:space="preserve"> </w:t>
      </w:r>
      <w:r>
        <w:rPr>
          <w:sz w:val="18"/>
        </w:rPr>
        <w:t xml:space="preserve">(1876) 2 QB 48 at 61-62, with which judgement </w:t>
      </w:r>
      <w:proofErr w:type="spellStart"/>
      <w:r>
        <w:rPr>
          <w:sz w:val="18"/>
        </w:rPr>
        <w:t>Mellish</w:t>
      </w:r>
      <w:proofErr w:type="spellEnd"/>
      <w:r>
        <w:rPr>
          <w:sz w:val="18"/>
        </w:rPr>
        <w:t xml:space="preserve"> LJ agreed.</w:t>
      </w:r>
    </w:p>
  </w:footnote>
  <w:footnote w:id="75">
    <w:p w:rsidR="00BE0CB8" w:rsidRPr="00F25CC7" w:rsidRDefault="00BE0CB8" w:rsidP="0038338C">
      <w:pPr>
        <w:autoSpaceDE w:val="0"/>
        <w:autoSpaceDN w:val="0"/>
        <w:adjustRightInd w:val="0"/>
        <w:spacing w:after="0" w:line="240" w:lineRule="auto"/>
        <w:ind w:left="567" w:hanging="567"/>
      </w:pPr>
      <w:r>
        <w:rPr>
          <w:rStyle w:val="FootnoteReference"/>
        </w:rPr>
        <w:footnoteRef/>
      </w:r>
      <w:r>
        <w:t xml:space="preserve"> </w:t>
      </w:r>
      <w:r>
        <w:tab/>
      </w:r>
      <w:proofErr w:type="gramStart"/>
      <w:r w:rsidRPr="005B7E17">
        <w:rPr>
          <w:i/>
        </w:rPr>
        <w:t>K</w:t>
      </w:r>
      <w:r w:rsidRPr="0038338C">
        <w:rPr>
          <w:i/>
          <w:sz w:val="18"/>
          <w:szCs w:val="18"/>
        </w:rPr>
        <w:t>amara v DPP</w:t>
      </w:r>
      <w:r w:rsidRPr="0038338C">
        <w:rPr>
          <w:sz w:val="18"/>
          <w:szCs w:val="18"/>
        </w:rPr>
        <w:t xml:space="preserve"> (1973) 57 </w:t>
      </w:r>
      <w:proofErr w:type="spellStart"/>
      <w:r w:rsidRPr="0038338C">
        <w:rPr>
          <w:sz w:val="18"/>
          <w:szCs w:val="18"/>
        </w:rPr>
        <w:t>Cr.App.R</w:t>
      </w:r>
      <w:proofErr w:type="spellEnd"/>
      <w:r w:rsidRPr="0038338C">
        <w:rPr>
          <w:sz w:val="18"/>
          <w:szCs w:val="18"/>
        </w:rPr>
        <w:t>.</w:t>
      </w:r>
      <w:proofErr w:type="gramEnd"/>
      <w:r w:rsidRPr="0038338C">
        <w:rPr>
          <w:sz w:val="18"/>
          <w:szCs w:val="18"/>
        </w:rPr>
        <w:t xml:space="preserve"> </w:t>
      </w:r>
      <w:proofErr w:type="gramStart"/>
      <w:r w:rsidRPr="0038338C">
        <w:rPr>
          <w:sz w:val="18"/>
          <w:szCs w:val="18"/>
        </w:rPr>
        <w:t>880</w:t>
      </w:r>
      <w:r w:rsidRPr="0038338C">
        <w:rPr>
          <w:i/>
          <w:sz w:val="18"/>
          <w:szCs w:val="18"/>
        </w:rPr>
        <w:t xml:space="preserve"> </w:t>
      </w:r>
      <w:r w:rsidRPr="0038338C">
        <w:rPr>
          <w:sz w:val="18"/>
          <w:szCs w:val="18"/>
        </w:rPr>
        <w:t xml:space="preserve">per Lord </w:t>
      </w:r>
      <w:proofErr w:type="spellStart"/>
      <w:r w:rsidRPr="0038338C">
        <w:rPr>
          <w:sz w:val="18"/>
          <w:szCs w:val="18"/>
        </w:rPr>
        <w:t>Halisham</w:t>
      </w:r>
      <w:proofErr w:type="spellEnd"/>
      <w:r w:rsidRPr="0038338C">
        <w:rPr>
          <w:sz w:val="18"/>
          <w:szCs w:val="18"/>
        </w:rPr>
        <w:t xml:space="preserve"> at 898 and 899.</w:t>
      </w:r>
      <w:proofErr w:type="gramEnd"/>
      <w:r w:rsidRPr="0038338C">
        <w:rPr>
          <w:sz w:val="18"/>
          <w:szCs w:val="18"/>
        </w:rPr>
        <w:t xml:space="preserve">  </w:t>
      </w:r>
    </w:p>
  </w:footnote>
  <w:footnote w:id="76">
    <w:p w:rsidR="00BE0CB8" w:rsidRDefault="00BE0CB8" w:rsidP="0038338C">
      <w:pPr>
        <w:pStyle w:val="FootnoteText"/>
        <w:ind w:left="567" w:hanging="567"/>
      </w:pPr>
      <w:r>
        <w:rPr>
          <w:rStyle w:val="FootnoteReference"/>
        </w:rPr>
        <w:footnoteRef/>
      </w:r>
      <w:r>
        <w:t xml:space="preserve"> </w:t>
      </w:r>
      <w:r>
        <w:tab/>
      </w:r>
      <w:proofErr w:type="gramStart"/>
      <w:r w:rsidRPr="0038338C">
        <w:rPr>
          <w:i/>
          <w:sz w:val="18"/>
          <w:szCs w:val="18"/>
        </w:rPr>
        <w:t>Norris v U.S.</w:t>
      </w:r>
      <w:proofErr w:type="gramEnd"/>
      <w:r>
        <w:rPr>
          <w:sz w:val="18"/>
          <w:szCs w:val="18"/>
        </w:rPr>
        <w:t xml:space="preserve">  [2008] 1 A.C. 920, §17:  </w:t>
      </w:r>
      <w:r w:rsidRPr="0038338C">
        <w:rPr>
          <w:sz w:val="18"/>
          <w:szCs w:val="18"/>
        </w:rPr>
        <w:t xml:space="preserve">Agreements in restraint of trade before the </w:t>
      </w:r>
      <w:r w:rsidRPr="0038338C">
        <w:rPr>
          <w:i/>
          <w:sz w:val="18"/>
          <w:szCs w:val="18"/>
        </w:rPr>
        <w:t>Enterprise Act</w:t>
      </w:r>
      <w:r w:rsidRPr="0038338C">
        <w:rPr>
          <w:sz w:val="18"/>
          <w:szCs w:val="18"/>
        </w:rPr>
        <w:t xml:space="preserve"> 2002 such as cartel activity </w:t>
      </w:r>
      <w:r>
        <w:rPr>
          <w:sz w:val="18"/>
          <w:szCs w:val="18"/>
        </w:rPr>
        <w:t>a</w:t>
      </w:r>
      <w:r w:rsidRPr="0038338C">
        <w:rPr>
          <w:sz w:val="18"/>
          <w:szCs w:val="18"/>
        </w:rPr>
        <w:t xml:space="preserve">re not indictable absent </w:t>
      </w:r>
      <w:r w:rsidRPr="0038338C">
        <w:rPr>
          <w:rFonts w:cs="Times New Roman"/>
          <w:i/>
          <w:sz w:val="18"/>
          <w:szCs w:val="18"/>
        </w:rPr>
        <w:t>aggravating features such as fraud, misrepresentation, violence, intimidation or inducement of a breach of contract</w:t>
      </w:r>
      <w:r>
        <w:rPr>
          <w:sz w:val="18"/>
          <w:szCs w:val="18"/>
        </w:rPr>
        <w:t>.</w:t>
      </w:r>
    </w:p>
  </w:footnote>
  <w:footnote w:id="77">
    <w:p w:rsidR="00B152D7" w:rsidRDefault="00B152D7" w:rsidP="00B152D7">
      <w:pPr>
        <w:pStyle w:val="FootnoteText"/>
        <w:ind w:left="567" w:hanging="567"/>
      </w:pPr>
      <w:r>
        <w:rPr>
          <w:rStyle w:val="FootnoteReference"/>
        </w:rPr>
        <w:footnoteRef/>
      </w:r>
      <w:r>
        <w:t xml:space="preserve"> </w:t>
      </w:r>
      <w:r>
        <w:tab/>
      </w:r>
      <w:r w:rsidRPr="003F7710">
        <w:rPr>
          <w:i/>
          <w:sz w:val="18"/>
          <w:szCs w:val="24"/>
        </w:rPr>
        <w:t>Financial Services and Markets Act</w:t>
      </w:r>
      <w:r w:rsidRPr="003F7710">
        <w:rPr>
          <w:sz w:val="18"/>
          <w:szCs w:val="24"/>
        </w:rPr>
        <w:t xml:space="preserve"> 2000 (FSMA) s397 </w:t>
      </w:r>
    </w:p>
  </w:footnote>
  <w:footnote w:id="78">
    <w:p w:rsidR="00BE0CB8" w:rsidRPr="00C41925" w:rsidRDefault="00BE0CB8" w:rsidP="00556AD5">
      <w:pPr>
        <w:pStyle w:val="FootnoteText"/>
        <w:ind w:left="567" w:hanging="567"/>
        <w:rPr>
          <w:sz w:val="18"/>
          <w:szCs w:val="18"/>
        </w:rPr>
      </w:pPr>
      <w:r>
        <w:rPr>
          <w:rStyle w:val="FootnoteReference"/>
        </w:rPr>
        <w:footnoteRef/>
      </w:r>
      <w:r>
        <w:t xml:space="preserve"> </w:t>
      </w:r>
      <w:r>
        <w:tab/>
      </w:r>
      <w:r w:rsidRPr="00C41925">
        <w:rPr>
          <w:sz w:val="18"/>
          <w:szCs w:val="18"/>
        </w:rPr>
        <w:t xml:space="preserve">This paper is concerned with conspiracy to defraud as defined in </w:t>
      </w:r>
      <w:r w:rsidRPr="00C41925">
        <w:rPr>
          <w:i/>
          <w:sz w:val="18"/>
          <w:szCs w:val="18"/>
        </w:rPr>
        <w:t>Scott v Metropolitan Police Commissioner</w:t>
      </w:r>
      <w:r w:rsidRPr="00C41925">
        <w:rPr>
          <w:sz w:val="18"/>
          <w:szCs w:val="18"/>
        </w:rPr>
        <w:t xml:space="preserve"> </w:t>
      </w:r>
      <w:proofErr w:type="gramStart"/>
      <w:r w:rsidRPr="00C41925">
        <w:rPr>
          <w:sz w:val="18"/>
          <w:szCs w:val="18"/>
        </w:rPr>
        <w:t>i.e</w:t>
      </w:r>
      <w:proofErr w:type="gramEnd"/>
      <w:r w:rsidRPr="00C41925">
        <w:rPr>
          <w:sz w:val="18"/>
          <w:szCs w:val="18"/>
        </w:rPr>
        <w:t xml:space="preserve">.  </w:t>
      </w:r>
      <w:proofErr w:type="gramStart"/>
      <w:r w:rsidRPr="00C41925">
        <w:rPr>
          <w:sz w:val="18"/>
          <w:szCs w:val="18"/>
        </w:rPr>
        <w:t>Dishonest agreements to prejudice the economic interests of others.</w:t>
      </w:r>
      <w:proofErr w:type="gramEnd"/>
      <w:r w:rsidRPr="00C41925">
        <w:rPr>
          <w:sz w:val="18"/>
          <w:szCs w:val="18"/>
        </w:rPr>
        <w:t xml:space="preserve">  It does not deal with that </w:t>
      </w:r>
      <w:r>
        <w:rPr>
          <w:sz w:val="18"/>
          <w:szCs w:val="18"/>
        </w:rPr>
        <w:t xml:space="preserve">manifestation </w:t>
      </w:r>
      <w:r w:rsidRPr="00C41925">
        <w:rPr>
          <w:sz w:val="18"/>
          <w:szCs w:val="18"/>
        </w:rPr>
        <w:t>of the offence concerned dishonest agreements to prejudice another’s right to discharge their duty.</w:t>
      </w:r>
    </w:p>
  </w:footnote>
  <w:footnote w:id="79">
    <w:p w:rsidR="00BE0CB8" w:rsidRPr="00C41925" w:rsidRDefault="00BE0CB8" w:rsidP="00556AD5">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spellStart"/>
      <w:proofErr w:type="gramStart"/>
      <w:r w:rsidRPr="00C41925">
        <w:rPr>
          <w:rFonts w:asciiTheme="minorHAnsi" w:hAnsiTheme="minorHAnsi"/>
          <w:i/>
          <w:szCs w:val="18"/>
        </w:rPr>
        <w:t>Saik</w:t>
      </w:r>
      <w:proofErr w:type="spellEnd"/>
      <w:r w:rsidRPr="00C41925">
        <w:rPr>
          <w:rFonts w:asciiTheme="minorHAnsi" w:hAnsiTheme="minorHAnsi"/>
          <w:szCs w:val="18"/>
        </w:rPr>
        <w:t xml:space="preserve"> [2006] 2 Cr App R 26, per Lord Hope [123].</w:t>
      </w:r>
      <w:proofErr w:type="gramEnd"/>
    </w:p>
  </w:footnote>
  <w:footnote w:id="80">
    <w:p w:rsidR="00BE0CB8" w:rsidRPr="00C41925" w:rsidRDefault="00BE0CB8" w:rsidP="00556AD5">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i/>
          <w:szCs w:val="18"/>
        </w:rPr>
        <w:t>Norris v USA</w:t>
      </w:r>
      <w:r w:rsidRPr="00C41925">
        <w:rPr>
          <w:rFonts w:asciiTheme="minorHAnsi" w:hAnsiTheme="minorHAnsi"/>
          <w:szCs w:val="18"/>
        </w:rPr>
        <w:t xml:space="preserve"> [2007] 1 WLR 1730 [60] per Auld LJ [66].</w:t>
      </w:r>
      <w:proofErr w:type="gramEnd"/>
    </w:p>
  </w:footnote>
  <w:footnote w:id="81">
    <w:p w:rsidR="00BE0CB8" w:rsidRPr="00C41925" w:rsidRDefault="00BE0CB8" w:rsidP="00556AD5">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r w:rsidRPr="00C41925">
        <w:rPr>
          <w:rFonts w:asciiTheme="minorHAnsi" w:hAnsiTheme="minorHAnsi"/>
          <w:i/>
          <w:szCs w:val="18"/>
        </w:rPr>
        <w:t>Conspiracy to Defraud</w:t>
      </w:r>
      <w:r w:rsidRPr="00C41925">
        <w:rPr>
          <w:rFonts w:asciiTheme="minorHAnsi" w:hAnsiTheme="minorHAnsi"/>
          <w:szCs w:val="18"/>
        </w:rPr>
        <w:t xml:space="preserve">: Law Commission, 1994 (Law Co No 228) para 5.1. Related arguments concerning the advantages of flexibility were used by the CPS and the SFO recently in support of the creation of a substantive offence of dishonesty: </w:t>
      </w:r>
      <w:r w:rsidRPr="00C41925">
        <w:rPr>
          <w:rFonts w:asciiTheme="minorHAnsi" w:hAnsiTheme="minorHAnsi"/>
          <w:i/>
          <w:szCs w:val="18"/>
        </w:rPr>
        <w:t>Fraud</w:t>
      </w:r>
      <w:r w:rsidRPr="00C41925">
        <w:rPr>
          <w:rFonts w:asciiTheme="minorHAnsi" w:hAnsiTheme="minorHAnsi"/>
          <w:szCs w:val="18"/>
        </w:rPr>
        <w:t>: Law Commission (2002) Cm 5560, paras 5.23–24.</w:t>
      </w:r>
    </w:p>
  </w:footnote>
  <w:footnote w:id="82">
    <w:p w:rsidR="00BE0CB8" w:rsidRPr="00C41925" w:rsidRDefault="00BE0CB8" w:rsidP="00556AD5">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The dangers of casual use </w:t>
      </w:r>
      <w:r>
        <w:rPr>
          <w:sz w:val="18"/>
          <w:szCs w:val="18"/>
        </w:rPr>
        <w:t xml:space="preserve">or misuse </w:t>
      </w:r>
      <w:r w:rsidRPr="00C41925">
        <w:rPr>
          <w:sz w:val="18"/>
          <w:szCs w:val="18"/>
        </w:rPr>
        <w:t>of conspiracy to defraud were reflected in the Report commissioned under</w:t>
      </w:r>
      <w:r>
        <w:rPr>
          <w:sz w:val="18"/>
          <w:szCs w:val="18"/>
        </w:rPr>
        <w:t xml:space="preserve"> </w:t>
      </w:r>
      <w:proofErr w:type="gramStart"/>
      <w:r>
        <w:rPr>
          <w:sz w:val="18"/>
          <w:szCs w:val="18"/>
        </w:rPr>
        <w:t>s</w:t>
      </w:r>
      <w:r w:rsidRPr="00C41925">
        <w:rPr>
          <w:sz w:val="18"/>
          <w:szCs w:val="18"/>
        </w:rPr>
        <w:t>2(</w:t>
      </w:r>
      <w:proofErr w:type="gramEnd"/>
      <w:r w:rsidRPr="00C41925">
        <w:rPr>
          <w:sz w:val="18"/>
          <w:szCs w:val="18"/>
        </w:rPr>
        <w:t xml:space="preserve">1)(b) of the </w:t>
      </w:r>
      <w:r w:rsidRPr="00C41925">
        <w:rPr>
          <w:i/>
          <w:sz w:val="18"/>
          <w:szCs w:val="18"/>
        </w:rPr>
        <w:t>Crown Prosecution Services Act</w:t>
      </w:r>
      <w:r w:rsidRPr="00C41925">
        <w:rPr>
          <w:sz w:val="18"/>
          <w:szCs w:val="18"/>
        </w:rPr>
        <w:t xml:space="preserve"> 2000 by the Attorney General following the collapse of the </w:t>
      </w:r>
      <w:r w:rsidRPr="00C41925">
        <w:rPr>
          <w:i/>
          <w:sz w:val="18"/>
          <w:szCs w:val="18"/>
        </w:rPr>
        <w:t>Jubilee Line</w:t>
      </w:r>
      <w:r w:rsidRPr="00C41925">
        <w:rPr>
          <w:sz w:val="18"/>
          <w:szCs w:val="18"/>
        </w:rPr>
        <w:t xml:space="preserve"> case: June 2006. </w:t>
      </w:r>
      <w:r w:rsidRPr="00C41925">
        <w:rPr>
          <w:i/>
          <w:sz w:val="18"/>
          <w:szCs w:val="18"/>
        </w:rPr>
        <w:t>Review of the Investigation and Criminal Proceedings relating to the Jubilee Line Case</w:t>
      </w:r>
      <w:r w:rsidRPr="00C41925">
        <w:rPr>
          <w:sz w:val="18"/>
          <w:szCs w:val="18"/>
        </w:rPr>
        <w:t>: para 11.88.</w:t>
      </w:r>
    </w:p>
  </w:footnote>
  <w:footnote w:id="83">
    <w:p w:rsidR="00BE0CB8" w:rsidRPr="00C41925" w:rsidRDefault="00BE0CB8" w:rsidP="00556AD5">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See </w:t>
      </w:r>
      <w:r w:rsidRPr="00C41925">
        <w:rPr>
          <w:i/>
          <w:sz w:val="18"/>
          <w:szCs w:val="18"/>
        </w:rPr>
        <w:t>Review of the Investigation and Criminal Proceedings relating to the Jubilee Line Case</w:t>
      </w:r>
      <w:r w:rsidRPr="00C41925">
        <w:rPr>
          <w:sz w:val="18"/>
          <w:szCs w:val="18"/>
        </w:rPr>
        <w:t xml:space="preserve">: para 11.88. For an example of the wider problems which can relate to the use of conspiracy, see Jarvis and </w:t>
      </w:r>
      <w:proofErr w:type="spellStart"/>
      <w:r w:rsidRPr="00C41925">
        <w:rPr>
          <w:sz w:val="18"/>
          <w:szCs w:val="18"/>
        </w:rPr>
        <w:t>Bisgrove</w:t>
      </w:r>
      <w:proofErr w:type="spellEnd"/>
      <w:r w:rsidRPr="00C41925">
        <w:rPr>
          <w:sz w:val="18"/>
          <w:szCs w:val="18"/>
        </w:rPr>
        <w:t xml:space="preserve">: </w:t>
      </w:r>
      <w:r w:rsidRPr="00C41925">
        <w:rPr>
          <w:i/>
          <w:sz w:val="18"/>
          <w:szCs w:val="18"/>
        </w:rPr>
        <w:t>The Use and Abuse of Conspiracy</w:t>
      </w:r>
      <w:r w:rsidRPr="00C41925">
        <w:rPr>
          <w:sz w:val="18"/>
          <w:szCs w:val="18"/>
        </w:rPr>
        <w:t xml:space="preserve">: [2014] </w:t>
      </w:r>
      <w:proofErr w:type="spellStart"/>
      <w:r w:rsidRPr="00C41925">
        <w:rPr>
          <w:sz w:val="18"/>
          <w:szCs w:val="18"/>
        </w:rPr>
        <w:t>Crim.L.R</w:t>
      </w:r>
      <w:proofErr w:type="spellEnd"/>
      <w:r w:rsidRPr="00C41925">
        <w:rPr>
          <w:sz w:val="18"/>
          <w:szCs w:val="18"/>
        </w:rPr>
        <w:t>. 259-275.</w:t>
      </w:r>
    </w:p>
  </w:footnote>
  <w:footnote w:id="84">
    <w:p w:rsidR="00BE0CB8" w:rsidRPr="00C41925" w:rsidRDefault="00BE0CB8" w:rsidP="00556AD5">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Norris</w:t>
      </w:r>
      <w:r w:rsidRPr="00C41925">
        <w:rPr>
          <w:sz w:val="18"/>
          <w:szCs w:val="18"/>
        </w:rPr>
        <w:t xml:space="preserve">, </w:t>
      </w:r>
      <w:r>
        <w:rPr>
          <w:i/>
          <w:sz w:val="18"/>
          <w:szCs w:val="18"/>
        </w:rPr>
        <w:t>Goldshield,</w:t>
      </w:r>
      <w:r w:rsidRPr="00C41925">
        <w:rPr>
          <w:sz w:val="18"/>
          <w:szCs w:val="18"/>
        </w:rPr>
        <w:t xml:space="preserve"> </w:t>
      </w:r>
      <w:r w:rsidRPr="00C41925">
        <w:rPr>
          <w:i/>
          <w:sz w:val="18"/>
          <w:szCs w:val="18"/>
        </w:rPr>
        <w:t>Evans</w:t>
      </w:r>
      <w:r w:rsidRPr="00C41925">
        <w:rPr>
          <w:sz w:val="18"/>
          <w:szCs w:val="18"/>
        </w:rPr>
        <w:t xml:space="preserve"> </w:t>
      </w:r>
      <w:r>
        <w:rPr>
          <w:sz w:val="18"/>
          <w:szCs w:val="18"/>
        </w:rPr>
        <w:t xml:space="preserve">and </w:t>
      </w:r>
      <w:proofErr w:type="spellStart"/>
      <w:r w:rsidRPr="00077E0D">
        <w:rPr>
          <w:i/>
          <w:sz w:val="18"/>
          <w:szCs w:val="18"/>
        </w:rPr>
        <w:t>Quillan</w:t>
      </w:r>
      <w:proofErr w:type="spellEnd"/>
      <w:r>
        <w:rPr>
          <w:sz w:val="18"/>
          <w:szCs w:val="18"/>
        </w:rPr>
        <w:t xml:space="preserve"> </w:t>
      </w:r>
      <w:r w:rsidRPr="00C41925">
        <w:rPr>
          <w:sz w:val="18"/>
          <w:szCs w:val="18"/>
        </w:rPr>
        <w:t>are dealt with in more detail below.</w:t>
      </w:r>
    </w:p>
  </w:footnote>
  <w:footnote w:id="85">
    <w:p w:rsidR="00BE0CB8" w:rsidRPr="00C41925" w:rsidRDefault="00BE0CB8" w:rsidP="002F3B84">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sz w:val="18"/>
          <w:szCs w:val="18"/>
        </w:rPr>
        <w:t>[1975] A.C. 819.</w:t>
      </w:r>
      <w:proofErr w:type="gramEnd"/>
      <w:r w:rsidRPr="00C41925">
        <w:rPr>
          <w:sz w:val="18"/>
          <w:szCs w:val="18"/>
        </w:rPr>
        <w:t xml:space="preserve"> </w:t>
      </w:r>
      <w:r w:rsidRPr="00C41925">
        <w:rPr>
          <w:i/>
          <w:sz w:val="18"/>
          <w:szCs w:val="18"/>
        </w:rPr>
        <w:t>Scott</w:t>
      </w:r>
      <w:r w:rsidRPr="00C41925">
        <w:rPr>
          <w:sz w:val="18"/>
          <w:szCs w:val="18"/>
        </w:rPr>
        <w:t xml:space="preserve"> was one five cases considered by the House of Lords between 1971 and 1975 concerning the ambit of common law conspiracy: </w:t>
      </w:r>
      <w:r w:rsidRPr="00C41925">
        <w:rPr>
          <w:i/>
          <w:sz w:val="18"/>
          <w:szCs w:val="18"/>
        </w:rPr>
        <w:t xml:space="preserve">DPP v </w:t>
      </w:r>
      <w:proofErr w:type="spellStart"/>
      <w:r w:rsidRPr="00C41925">
        <w:rPr>
          <w:i/>
          <w:sz w:val="18"/>
          <w:szCs w:val="18"/>
        </w:rPr>
        <w:t>Bhagwan</w:t>
      </w:r>
      <w:proofErr w:type="spellEnd"/>
      <w:r w:rsidRPr="00C41925">
        <w:rPr>
          <w:sz w:val="18"/>
          <w:szCs w:val="18"/>
        </w:rPr>
        <w:t xml:space="preserve"> [1972] AC 67; </w:t>
      </w:r>
      <w:r w:rsidRPr="00C41925">
        <w:rPr>
          <w:i/>
          <w:sz w:val="18"/>
          <w:szCs w:val="18"/>
        </w:rPr>
        <w:t xml:space="preserve">R v </w:t>
      </w:r>
      <w:proofErr w:type="spellStart"/>
      <w:r w:rsidRPr="00C41925">
        <w:rPr>
          <w:i/>
          <w:sz w:val="18"/>
          <w:szCs w:val="18"/>
        </w:rPr>
        <w:t>Knuller</w:t>
      </w:r>
      <w:proofErr w:type="spellEnd"/>
      <w:r w:rsidRPr="00C41925">
        <w:rPr>
          <w:i/>
          <w:sz w:val="18"/>
          <w:szCs w:val="18"/>
        </w:rPr>
        <w:t xml:space="preserve"> (Publishing, Printing and Promotions) Ltd v DPP</w:t>
      </w:r>
      <w:r w:rsidRPr="00C41925">
        <w:rPr>
          <w:sz w:val="18"/>
          <w:szCs w:val="18"/>
        </w:rPr>
        <w:t xml:space="preserve"> [1973] AC 435; </w:t>
      </w:r>
      <w:r w:rsidRPr="00C41925">
        <w:rPr>
          <w:i/>
          <w:sz w:val="18"/>
          <w:szCs w:val="18"/>
        </w:rPr>
        <w:t>Kamara v DPP</w:t>
      </w:r>
      <w:r w:rsidRPr="00C41925">
        <w:rPr>
          <w:sz w:val="18"/>
          <w:szCs w:val="18"/>
        </w:rPr>
        <w:t xml:space="preserve"> [1974] AC 104; and </w:t>
      </w:r>
      <w:r w:rsidRPr="00C41925">
        <w:rPr>
          <w:i/>
          <w:sz w:val="18"/>
          <w:szCs w:val="18"/>
        </w:rPr>
        <w:t>Withers v DPP</w:t>
      </w:r>
      <w:r w:rsidRPr="00C41925">
        <w:rPr>
          <w:sz w:val="18"/>
          <w:szCs w:val="18"/>
        </w:rPr>
        <w:t xml:space="preserve"> [1975] AC 842.</w:t>
      </w:r>
    </w:p>
  </w:footnote>
  <w:footnote w:id="86">
    <w:p w:rsidR="00BE0CB8" w:rsidRPr="00C41925" w:rsidRDefault="00BE0CB8" w:rsidP="002F3B84">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i/>
          <w:szCs w:val="18"/>
        </w:rPr>
        <w:t>Ibid</w:t>
      </w:r>
      <w:r w:rsidRPr="00C41925">
        <w:rPr>
          <w:rFonts w:asciiTheme="minorHAnsi" w:hAnsiTheme="minorHAnsi"/>
          <w:szCs w:val="18"/>
        </w:rPr>
        <w:t>, at 840.</w:t>
      </w:r>
      <w:proofErr w:type="gramEnd"/>
    </w:p>
  </w:footnote>
  <w:footnote w:id="87">
    <w:p w:rsidR="00BE0CB8" w:rsidRPr="00C41925" w:rsidRDefault="00BE0CB8" w:rsidP="002F3B84">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t xml:space="preserve">[1961] AC 103, 123–124. Although </w:t>
      </w:r>
      <w:proofErr w:type="spellStart"/>
      <w:r w:rsidRPr="00C41925">
        <w:rPr>
          <w:rFonts w:asciiTheme="minorHAnsi" w:hAnsiTheme="minorHAnsi"/>
          <w:i/>
          <w:szCs w:val="18"/>
        </w:rPr>
        <w:t>Welham</w:t>
      </w:r>
      <w:proofErr w:type="spellEnd"/>
      <w:r w:rsidRPr="00C41925">
        <w:rPr>
          <w:rFonts w:asciiTheme="minorHAnsi" w:hAnsiTheme="minorHAnsi"/>
          <w:szCs w:val="18"/>
        </w:rPr>
        <w:t xml:space="preserve"> had been concerned with the narrow meaning of ‘intent to defraud’ in sections 1 and 5 of the </w:t>
      </w:r>
      <w:r w:rsidRPr="00C41925">
        <w:rPr>
          <w:rFonts w:asciiTheme="minorHAnsi" w:hAnsiTheme="minorHAnsi"/>
          <w:i/>
          <w:szCs w:val="18"/>
        </w:rPr>
        <w:t>Forgery Act</w:t>
      </w:r>
      <w:r w:rsidRPr="00C41925">
        <w:rPr>
          <w:rFonts w:asciiTheme="minorHAnsi" w:hAnsiTheme="minorHAnsi"/>
          <w:szCs w:val="18"/>
        </w:rPr>
        <w:t xml:space="preserve"> 1913, Viscount </w:t>
      </w:r>
      <w:proofErr w:type="spellStart"/>
      <w:r w:rsidRPr="00C41925">
        <w:rPr>
          <w:rFonts w:asciiTheme="minorHAnsi" w:hAnsiTheme="minorHAnsi"/>
          <w:szCs w:val="18"/>
        </w:rPr>
        <w:t>Dilhorne</w:t>
      </w:r>
      <w:proofErr w:type="spellEnd"/>
      <w:r w:rsidRPr="00C41925">
        <w:rPr>
          <w:rFonts w:asciiTheme="minorHAnsi" w:hAnsiTheme="minorHAnsi"/>
          <w:szCs w:val="18"/>
        </w:rPr>
        <w:t xml:space="preserve"> in </w:t>
      </w:r>
      <w:r w:rsidRPr="00C41925">
        <w:rPr>
          <w:rFonts w:asciiTheme="minorHAnsi" w:hAnsiTheme="minorHAnsi"/>
          <w:i/>
          <w:szCs w:val="18"/>
        </w:rPr>
        <w:t>Scott</w:t>
      </w:r>
      <w:r w:rsidRPr="00C41925">
        <w:rPr>
          <w:rFonts w:asciiTheme="minorHAnsi" w:hAnsiTheme="minorHAnsi"/>
          <w:szCs w:val="18"/>
        </w:rPr>
        <w:t xml:space="preserve"> thought that Lord Radcliffe’s dicta were of general application.</w:t>
      </w:r>
      <w:r w:rsidRPr="00C41925">
        <w:rPr>
          <w:rStyle w:val="FootnoteReference"/>
          <w:rFonts w:asciiTheme="minorHAnsi" w:hAnsiTheme="minorHAnsi"/>
          <w:szCs w:val="18"/>
        </w:rPr>
        <w:footnoteRef/>
      </w:r>
    </w:p>
  </w:footnote>
  <w:footnote w:id="88">
    <w:p w:rsidR="00BE0CB8" w:rsidRPr="00C41925" w:rsidRDefault="00BE0CB8" w:rsidP="002F3B84">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szCs w:val="18"/>
        </w:rPr>
        <w:t>4 Commentaries, 245.</w:t>
      </w:r>
      <w:proofErr w:type="gramEnd"/>
    </w:p>
  </w:footnote>
  <w:footnote w:id="89">
    <w:p w:rsidR="00BE0CB8" w:rsidRPr="00C41925" w:rsidRDefault="00BE0CB8" w:rsidP="002F3B84">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t xml:space="preserve">East Pleas of the Crown (1803), </w:t>
      </w:r>
      <w:proofErr w:type="spellStart"/>
      <w:r w:rsidRPr="00C41925">
        <w:rPr>
          <w:rFonts w:asciiTheme="minorHAnsi" w:hAnsiTheme="minorHAnsi"/>
          <w:szCs w:val="18"/>
        </w:rPr>
        <w:t>vol</w:t>
      </w:r>
      <w:proofErr w:type="spellEnd"/>
      <w:r w:rsidRPr="00C41925">
        <w:rPr>
          <w:rFonts w:asciiTheme="minorHAnsi" w:hAnsiTheme="minorHAnsi"/>
          <w:szCs w:val="18"/>
        </w:rPr>
        <w:t xml:space="preserve"> II, at 852–854.</w:t>
      </w:r>
    </w:p>
  </w:footnote>
  <w:footnote w:id="90">
    <w:p w:rsidR="00BE0CB8" w:rsidRPr="00C41925" w:rsidRDefault="00BE0CB8" w:rsidP="002F3B84">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spellStart"/>
      <w:proofErr w:type="gramStart"/>
      <w:r w:rsidRPr="00C41925">
        <w:rPr>
          <w:rFonts w:asciiTheme="minorHAnsi" w:hAnsiTheme="minorHAnsi"/>
          <w:i/>
          <w:szCs w:val="18"/>
        </w:rPr>
        <w:t>Welham</w:t>
      </w:r>
      <w:proofErr w:type="spellEnd"/>
      <w:r w:rsidRPr="00C41925">
        <w:rPr>
          <w:rFonts w:asciiTheme="minorHAnsi" w:hAnsiTheme="minorHAnsi"/>
          <w:i/>
          <w:szCs w:val="18"/>
        </w:rPr>
        <w:t xml:space="preserve"> v Director of Public Prosecutions</w:t>
      </w:r>
      <w:r w:rsidRPr="00C41925">
        <w:rPr>
          <w:rFonts w:asciiTheme="minorHAnsi" w:hAnsiTheme="minorHAnsi"/>
          <w:szCs w:val="18"/>
        </w:rPr>
        <w:t xml:space="preserve"> [1961] AC 103, per Lord Radcliffe at 123.</w:t>
      </w:r>
      <w:proofErr w:type="gramEnd"/>
      <w:r w:rsidRPr="00C41925">
        <w:rPr>
          <w:rFonts w:asciiTheme="minorHAnsi" w:hAnsiTheme="minorHAnsi"/>
          <w:szCs w:val="18"/>
        </w:rPr>
        <w:t xml:space="preserve"> In </w:t>
      </w:r>
      <w:r w:rsidRPr="00C41925">
        <w:rPr>
          <w:rFonts w:asciiTheme="minorHAnsi" w:hAnsiTheme="minorHAnsi"/>
          <w:i/>
          <w:szCs w:val="18"/>
        </w:rPr>
        <w:t>Scott</w:t>
      </w:r>
      <w:r w:rsidRPr="00C41925">
        <w:rPr>
          <w:rFonts w:asciiTheme="minorHAnsi" w:hAnsiTheme="minorHAnsi"/>
          <w:szCs w:val="18"/>
        </w:rPr>
        <w:t xml:space="preserve">, Viscount </w:t>
      </w:r>
      <w:proofErr w:type="spellStart"/>
      <w:r w:rsidRPr="00C41925">
        <w:rPr>
          <w:rFonts w:asciiTheme="minorHAnsi" w:hAnsiTheme="minorHAnsi"/>
          <w:szCs w:val="18"/>
        </w:rPr>
        <w:t>Dilhorne</w:t>
      </w:r>
      <w:proofErr w:type="spellEnd"/>
      <w:r w:rsidRPr="00C41925">
        <w:rPr>
          <w:rFonts w:asciiTheme="minorHAnsi" w:hAnsiTheme="minorHAnsi"/>
          <w:szCs w:val="18"/>
        </w:rPr>
        <w:t xml:space="preserve"> accepted that Lord Radcliffe had set out the broad characteristics of the offence and accepted that </w:t>
      </w:r>
      <w:proofErr w:type="spellStart"/>
      <w:r w:rsidRPr="00C41925">
        <w:rPr>
          <w:rFonts w:asciiTheme="minorHAnsi" w:hAnsiTheme="minorHAnsi"/>
          <w:i/>
          <w:szCs w:val="18"/>
        </w:rPr>
        <w:t>Welham</w:t>
      </w:r>
      <w:proofErr w:type="spellEnd"/>
      <w:r w:rsidRPr="00C41925">
        <w:rPr>
          <w:rFonts w:asciiTheme="minorHAnsi" w:hAnsiTheme="minorHAnsi"/>
          <w:szCs w:val="18"/>
        </w:rPr>
        <w:t xml:space="preserve"> established general principles.</w:t>
      </w:r>
    </w:p>
  </w:footnote>
  <w:footnote w:id="91">
    <w:p w:rsidR="00BE0CB8" w:rsidRPr="00C41925" w:rsidRDefault="00BE0CB8" w:rsidP="002C0B2A">
      <w:pPr>
        <w:autoSpaceDE w:val="0"/>
        <w:autoSpaceDN w:val="0"/>
        <w:adjustRightInd w:val="0"/>
        <w:spacing w:after="0" w:line="240" w:lineRule="auto"/>
        <w:ind w:left="567" w:hanging="567"/>
        <w:rPr>
          <w:rFonts w:cs="Times New Roman"/>
          <w:sz w:val="18"/>
          <w:szCs w:val="18"/>
        </w:rPr>
      </w:pPr>
      <w:r w:rsidRPr="00C41925">
        <w:rPr>
          <w:rStyle w:val="FootnoteReference"/>
          <w:sz w:val="18"/>
          <w:szCs w:val="18"/>
        </w:rPr>
        <w:footnoteRef/>
      </w:r>
      <w:r w:rsidRPr="00C41925">
        <w:rPr>
          <w:sz w:val="18"/>
          <w:szCs w:val="18"/>
        </w:rPr>
        <w:t xml:space="preserve"> </w:t>
      </w:r>
      <w:r w:rsidRPr="00C41925">
        <w:rPr>
          <w:sz w:val="18"/>
          <w:szCs w:val="18"/>
        </w:rPr>
        <w:tab/>
        <w:t>[</w:t>
      </w:r>
      <w:r w:rsidRPr="00C41925">
        <w:rPr>
          <w:rFonts w:cs="Arial"/>
          <w:sz w:val="18"/>
          <w:szCs w:val="18"/>
        </w:rPr>
        <w:t xml:space="preserve">1992] 1 </w:t>
      </w:r>
      <w:r w:rsidRPr="00C41925">
        <w:rPr>
          <w:rFonts w:cs="Times New Roman"/>
          <w:sz w:val="18"/>
          <w:szCs w:val="18"/>
        </w:rPr>
        <w:t xml:space="preserve">A.C. </w:t>
      </w:r>
      <w:r w:rsidRPr="00C41925">
        <w:rPr>
          <w:rFonts w:cs="Arial"/>
          <w:sz w:val="18"/>
          <w:szCs w:val="18"/>
        </w:rPr>
        <w:t>269 at 280</w:t>
      </w:r>
    </w:p>
  </w:footnote>
  <w:footnote w:id="92">
    <w:p w:rsidR="00BE0CB8" w:rsidRPr="00C41925" w:rsidRDefault="00BE0CB8" w:rsidP="007239DF">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t xml:space="preserve">Home Office: </w:t>
      </w:r>
      <w:r w:rsidRPr="00C41925">
        <w:rPr>
          <w:rFonts w:asciiTheme="minorHAnsi" w:hAnsiTheme="minorHAnsi"/>
          <w:i/>
          <w:szCs w:val="18"/>
        </w:rPr>
        <w:t>Fraud Law Reform</w:t>
      </w:r>
      <w:r w:rsidRPr="00C41925">
        <w:rPr>
          <w:rFonts w:asciiTheme="minorHAnsi" w:hAnsiTheme="minorHAnsi"/>
          <w:szCs w:val="18"/>
        </w:rPr>
        <w:t xml:space="preserve"> (2004) para 4: </w:t>
      </w:r>
    </w:p>
  </w:footnote>
  <w:footnote w:id="93">
    <w:p w:rsidR="00BE0CB8" w:rsidRPr="00C41925" w:rsidRDefault="00BE0CB8" w:rsidP="007239DF">
      <w:pPr>
        <w:pStyle w:val="ListParagraph"/>
        <w:spacing w:after="0" w:line="240" w:lineRule="auto"/>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Law Commission: Working Paper No 56: </w:t>
      </w:r>
      <w:r w:rsidRPr="00C41925">
        <w:rPr>
          <w:i/>
          <w:sz w:val="18"/>
          <w:szCs w:val="18"/>
        </w:rPr>
        <w:t xml:space="preserve">Conspiracy to Defraud </w:t>
      </w:r>
      <w:r w:rsidRPr="00C41925">
        <w:rPr>
          <w:sz w:val="18"/>
          <w:szCs w:val="18"/>
        </w:rPr>
        <w:t xml:space="preserve">(1974): </w:t>
      </w:r>
    </w:p>
    <w:p w:rsidR="00BE0CB8" w:rsidRPr="00C41925" w:rsidRDefault="00BE0CB8" w:rsidP="007239DF">
      <w:pPr>
        <w:autoSpaceDE w:val="0"/>
        <w:autoSpaceDN w:val="0"/>
        <w:adjustRightInd w:val="0"/>
        <w:spacing w:after="0" w:line="240" w:lineRule="auto"/>
        <w:ind w:left="851"/>
        <w:rPr>
          <w:rFonts w:cs="Times New Roman"/>
          <w:sz w:val="18"/>
          <w:szCs w:val="18"/>
        </w:rPr>
      </w:pPr>
      <w:r w:rsidRPr="00C41925">
        <w:rPr>
          <w:rFonts w:cs="Times New Roman"/>
          <w:sz w:val="18"/>
          <w:szCs w:val="18"/>
        </w:rPr>
        <w:t>“</w:t>
      </w:r>
      <w:r w:rsidRPr="00C41925">
        <w:rPr>
          <w:rFonts w:cs="Times New Roman"/>
          <w:i/>
          <w:sz w:val="18"/>
          <w:szCs w:val="18"/>
        </w:rPr>
        <w:t>It seems right to conclude that any combination with the object of interfering directly with property or other legal rights is a conspiracy to defraud, if the combination has an additional element of "dishonesty".</w:t>
      </w:r>
      <w:r w:rsidRPr="00C41925">
        <w:rPr>
          <w:rFonts w:cs="Times New Roman"/>
          <w:sz w:val="18"/>
          <w:szCs w:val="18"/>
        </w:rPr>
        <w:t xml:space="preserve"> §46</w:t>
      </w:r>
    </w:p>
    <w:p w:rsidR="00BE0CB8" w:rsidRPr="00C41925" w:rsidRDefault="00BE0CB8" w:rsidP="007239DF">
      <w:pPr>
        <w:autoSpaceDE w:val="0"/>
        <w:autoSpaceDN w:val="0"/>
        <w:adjustRightInd w:val="0"/>
        <w:spacing w:after="0" w:line="240" w:lineRule="auto"/>
        <w:ind w:left="851"/>
        <w:rPr>
          <w:sz w:val="18"/>
          <w:szCs w:val="18"/>
        </w:rPr>
      </w:pPr>
      <w:r w:rsidRPr="00C41925">
        <w:rPr>
          <w:rFonts w:cs="Times New Roman"/>
          <w:sz w:val="18"/>
          <w:szCs w:val="18"/>
        </w:rPr>
        <w:t>“</w:t>
      </w:r>
      <w:r w:rsidRPr="00C41925">
        <w:rPr>
          <w:rFonts w:cs="Times New Roman"/>
          <w:i/>
          <w:sz w:val="18"/>
          <w:szCs w:val="18"/>
        </w:rPr>
        <w:t xml:space="preserve">It seems that any dishonest act, even when it involves neither deception nor the more general falsification of </w:t>
      </w:r>
      <w:r w:rsidRPr="00C41925">
        <w:rPr>
          <w:rFonts w:cs="Arial"/>
          <w:b/>
          <w:bCs/>
          <w:i/>
          <w:sz w:val="18"/>
          <w:szCs w:val="18"/>
        </w:rPr>
        <w:t xml:space="preserve">a </w:t>
      </w:r>
      <w:r w:rsidRPr="00C41925">
        <w:rPr>
          <w:rFonts w:cs="Times New Roman"/>
          <w:i/>
          <w:sz w:val="18"/>
          <w:szCs w:val="18"/>
        </w:rPr>
        <w:t>transaction, which has</w:t>
      </w:r>
      <w:r>
        <w:rPr>
          <w:rFonts w:cs="Times New Roman"/>
          <w:i/>
          <w:sz w:val="18"/>
          <w:szCs w:val="18"/>
        </w:rPr>
        <w:t xml:space="preserve"> </w:t>
      </w:r>
      <w:r w:rsidRPr="00C41925">
        <w:rPr>
          <w:rFonts w:cs="Times New Roman"/>
          <w:i/>
          <w:sz w:val="18"/>
          <w:szCs w:val="18"/>
        </w:rPr>
        <w:t>the effect of depriving a person of anything or, indeed, prejudicing him economically in any other way will suffice to found an indictment for conspiracy</w:t>
      </w:r>
      <w:r w:rsidRPr="00C41925">
        <w:rPr>
          <w:rFonts w:cs="Times New Roman"/>
          <w:sz w:val="18"/>
          <w:szCs w:val="18"/>
        </w:rPr>
        <w:t>”.§47</w:t>
      </w:r>
    </w:p>
  </w:footnote>
  <w:footnote w:id="94">
    <w:p w:rsidR="00BE0CB8" w:rsidRPr="003C75CC" w:rsidRDefault="00BE0CB8" w:rsidP="007239DF">
      <w:pPr>
        <w:pStyle w:val="FootnoteText"/>
        <w:ind w:left="567" w:hanging="567"/>
      </w:pPr>
      <w:r>
        <w:rPr>
          <w:rStyle w:val="FootnoteReference"/>
        </w:rPr>
        <w:footnoteRef/>
      </w:r>
      <w:r>
        <w:t xml:space="preserve"> </w:t>
      </w:r>
      <w:r>
        <w:tab/>
      </w:r>
      <w:r w:rsidRPr="003C75CC">
        <w:rPr>
          <w:sz w:val="18"/>
        </w:rPr>
        <w:t xml:space="preserve">Law Commission: </w:t>
      </w:r>
      <w:r w:rsidRPr="003C75CC">
        <w:rPr>
          <w:i/>
          <w:sz w:val="18"/>
        </w:rPr>
        <w:t xml:space="preserve">Fraud </w:t>
      </w:r>
      <w:r w:rsidRPr="003C75CC">
        <w:rPr>
          <w:sz w:val="18"/>
        </w:rPr>
        <w:t>(2002)Cm 5560 §3.6, 3.8, 3.9</w:t>
      </w:r>
    </w:p>
  </w:footnote>
  <w:footnote w:id="95">
    <w:p w:rsidR="00BE0CB8" w:rsidRPr="00C41925" w:rsidRDefault="00BE0CB8" w:rsidP="007239DF">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The historical development of conspiracy is set out in the following works: Wright: </w:t>
      </w:r>
      <w:r w:rsidRPr="00C41925">
        <w:rPr>
          <w:i/>
          <w:iCs/>
          <w:sz w:val="18"/>
          <w:szCs w:val="18"/>
        </w:rPr>
        <w:t>The Law of Criminal Conspiracies an Agreements</w:t>
      </w:r>
      <w:r w:rsidRPr="00C41925">
        <w:rPr>
          <w:sz w:val="18"/>
          <w:szCs w:val="18"/>
        </w:rPr>
        <w:t xml:space="preserve"> (1873); Harrison, </w:t>
      </w:r>
      <w:r w:rsidRPr="00C41925">
        <w:rPr>
          <w:i/>
          <w:iCs/>
          <w:sz w:val="18"/>
          <w:szCs w:val="18"/>
        </w:rPr>
        <w:t>The Law of Conspiracy</w:t>
      </w:r>
      <w:r w:rsidRPr="00C41925">
        <w:rPr>
          <w:sz w:val="18"/>
          <w:szCs w:val="18"/>
        </w:rPr>
        <w:t xml:space="preserve"> (Sweet &amp; Maxwell: 1924); Winfield: </w:t>
      </w:r>
      <w:r w:rsidRPr="00C41925">
        <w:rPr>
          <w:i/>
          <w:iCs/>
          <w:sz w:val="18"/>
          <w:szCs w:val="18"/>
        </w:rPr>
        <w:t xml:space="preserve">The History of Conspiracy and Abuse of Process </w:t>
      </w:r>
      <w:r w:rsidRPr="00C41925">
        <w:rPr>
          <w:sz w:val="18"/>
          <w:szCs w:val="18"/>
        </w:rPr>
        <w:t xml:space="preserve">(1921) ; </w:t>
      </w:r>
      <w:proofErr w:type="spellStart"/>
      <w:r w:rsidRPr="00C41925">
        <w:rPr>
          <w:sz w:val="18"/>
          <w:szCs w:val="18"/>
        </w:rPr>
        <w:t>Holdsworth</w:t>
      </w:r>
      <w:proofErr w:type="spellEnd"/>
      <w:r w:rsidRPr="00C41925">
        <w:rPr>
          <w:sz w:val="18"/>
          <w:szCs w:val="18"/>
        </w:rPr>
        <w:t xml:space="preserve">: </w:t>
      </w:r>
      <w:r w:rsidRPr="00C41925">
        <w:rPr>
          <w:i/>
          <w:iCs/>
          <w:sz w:val="18"/>
          <w:szCs w:val="18"/>
        </w:rPr>
        <w:t>History of the English Law</w:t>
      </w:r>
      <w:r w:rsidRPr="00C41925">
        <w:rPr>
          <w:sz w:val="18"/>
          <w:szCs w:val="18"/>
        </w:rPr>
        <w:t xml:space="preserve">: iii, 401-407; viii, 378-397; xi, 475-501; xiii, 339-351 </w:t>
      </w:r>
    </w:p>
  </w:footnote>
  <w:footnote w:id="96">
    <w:p w:rsidR="00BE0CB8" w:rsidRPr="00C41925" w:rsidRDefault="00BE0CB8" w:rsidP="007239DF">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sz w:val="18"/>
          <w:szCs w:val="18"/>
        </w:rPr>
        <w:t>[1973] A.C. 435 HL.</w:t>
      </w:r>
      <w:proofErr w:type="gramEnd"/>
    </w:p>
  </w:footnote>
  <w:footnote w:id="97">
    <w:p w:rsidR="00BE0CB8" w:rsidRPr="00C41925" w:rsidRDefault="00BE0CB8" w:rsidP="007239DF">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r w:rsidRPr="00C41925">
        <w:rPr>
          <w:i/>
          <w:iCs/>
          <w:sz w:val="18"/>
          <w:szCs w:val="18"/>
        </w:rPr>
        <w:t>Knuller</w:t>
      </w:r>
      <w:proofErr w:type="spellEnd"/>
      <w:r w:rsidRPr="00C41925">
        <w:rPr>
          <w:sz w:val="18"/>
          <w:szCs w:val="18"/>
        </w:rPr>
        <w:t xml:space="preserve">, </w:t>
      </w:r>
      <w:r w:rsidRPr="00C41925">
        <w:rPr>
          <w:i/>
          <w:sz w:val="18"/>
          <w:szCs w:val="18"/>
        </w:rPr>
        <w:t xml:space="preserve">op </w:t>
      </w:r>
      <w:proofErr w:type="spellStart"/>
      <w:r w:rsidRPr="00C41925">
        <w:rPr>
          <w:i/>
          <w:sz w:val="18"/>
          <w:szCs w:val="18"/>
        </w:rPr>
        <w:t>cit</w:t>
      </w:r>
      <w:proofErr w:type="spellEnd"/>
      <w:r w:rsidRPr="00C41925">
        <w:rPr>
          <w:sz w:val="18"/>
          <w:szCs w:val="18"/>
        </w:rPr>
        <w:t xml:space="preserve">, at 475 D-H; see also Winfield: </w:t>
      </w:r>
      <w:r w:rsidRPr="00C41925">
        <w:rPr>
          <w:i/>
          <w:iCs/>
          <w:sz w:val="18"/>
          <w:szCs w:val="18"/>
        </w:rPr>
        <w:t>The History of Conspiracy and Abuse of Legal Procedure</w:t>
      </w:r>
      <w:r w:rsidRPr="00C41925">
        <w:rPr>
          <w:sz w:val="18"/>
          <w:szCs w:val="18"/>
        </w:rPr>
        <w:t xml:space="preserve"> (1921) [2001 reprint], Chap IV, p. 108 </w:t>
      </w:r>
      <w:proofErr w:type="gramStart"/>
      <w:r w:rsidRPr="00C41925">
        <w:rPr>
          <w:i/>
          <w:sz w:val="18"/>
          <w:szCs w:val="18"/>
        </w:rPr>
        <w:t>et</w:t>
      </w:r>
      <w:proofErr w:type="gramEnd"/>
      <w:r w:rsidRPr="00C41925">
        <w:rPr>
          <w:i/>
          <w:sz w:val="18"/>
          <w:szCs w:val="18"/>
        </w:rPr>
        <w:t xml:space="preserve"> </w:t>
      </w:r>
      <w:proofErr w:type="spellStart"/>
      <w:r w:rsidRPr="00C41925">
        <w:rPr>
          <w:i/>
          <w:sz w:val="18"/>
          <w:szCs w:val="18"/>
        </w:rPr>
        <w:t>seq</w:t>
      </w:r>
      <w:proofErr w:type="spellEnd"/>
      <w:r w:rsidRPr="00C41925">
        <w:rPr>
          <w:sz w:val="18"/>
          <w:szCs w:val="18"/>
        </w:rPr>
        <w:t xml:space="preserve">; </w:t>
      </w:r>
      <w:proofErr w:type="spellStart"/>
      <w:r w:rsidRPr="00C41925">
        <w:rPr>
          <w:sz w:val="18"/>
          <w:szCs w:val="18"/>
        </w:rPr>
        <w:t>Holdsworth</w:t>
      </w:r>
      <w:proofErr w:type="spellEnd"/>
      <w:r w:rsidRPr="00C41925">
        <w:rPr>
          <w:sz w:val="18"/>
          <w:szCs w:val="18"/>
        </w:rPr>
        <w:t xml:space="preserve">: </w:t>
      </w:r>
      <w:r w:rsidRPr="00C41925">
        <w:rPr>
          <w:i/>
          <w:iCs/>
          <w:sz w:val="18"/>
          <w:szCs w:val="18"/>
        </w:rPr>
        <w:t>History of the English Law</w:t>
      </w:r>
      <w:r w:rsidRPr="00C41925">
        <w:rPr>
          <w:sz w:val="18"/>
          <w:szCs w:val="18"/>
        </w:rPr>
        <w:t xml:space="preserve">: vol. iii, 401-403. </w:t>
      </w:r>
    </w:p>
  </w:footnote>
  <w:footnote w:id="98">
    <w:p w:rsidR="00BE0CB8" w:rsidRPr="00C41925" w:rsidRDefault="00BE0CB8" w:rsidP="007239DF">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proofErr w:type="gramStart"/>
      <w:r w:rsidRPr="00C41925">
        <w:rPr>
          <w:i/>
          <w:iCs/>
          <w:sz w:val="18"/>
          <w:szCs w:val="18"/>
        </w:rPr>
        <w:t>Knuller</w:t>
      </w:r>
      <w:proofErr w:type="spellEnd"/>
      <w:r w:rsidRPr="00C41925">
        <w:rPr>
          <w:i/>
          <w:iCs/>
          <w:sz w:val="18"/>
          <w:szCs w:val="18"/>
        </w:rPr>
        <w:t xml:space="preserve">, op </w:t>
      </w:r>
      <w:proofErr w:type="spellStart"/>
      <w:r w:rsidRPr="00C41925">
        <w:rPr>
          <w:i/>
          <w:iCs/>
          <w:sz w:val="18"/>
          <w:szCs w:val="18"/>
        </w:rPr>
        <w:t>cit</w:t>
      </w:r>
      <w:proofErr w:type="spellEnd"/>
      <w:r w:rsidRPr="00C41925">
        <w:rPr>
          <w:i/>
          <w:iCs/>
          <w:sz w:val="18"/>
          <w:szCs w:val="18"/>
        </w:rPr>
        <w:t xml:space="preserve"> </w:t>
      </w:r>
      <w:r w:rsidRPr="00C41925">
        <w:rPr>
          <w:iCs/>
          <w:sz w:val="18"/>
          <w:szCs w:val="18"/>
        </w:rPr>
        <w:t>at 475D</w:t>
      </w:r>
      <w:r w:rsidRPr="00C41925">
        <w:rPr>
          <w:sz w:val="18"/>
          <w:szCs w:val="18"/>
        </w:rPr>
        <w:t>;</w:t>
      </w:r>
      <w:r w:rsidRPr="00C41925">
        <w:rPr>
          <w:iCs/>
          <w:sz w:val="18"/>
          <w:szCs w:val="18"/>
        </w:rPr>
        <w:t xml:space="preserve"> and </w:t>
      </w:r>
      <w:r w:rsidRPr="00C41925">
        <w:rPr>
          <w:i/>
          <w:iCs/>
          <w:sz w:val="18"/>
          <w:szCs w:val="18"/>
        </w:rPr>
        <w:t xml:space="preserve">Midland Bank Trust Co. Ltd. </w:t>
      </w:r>
      <w:r w:rsidRPr="00C41925">
        <w:rPr>
          <w:sz w:val="18"/>
          <w:szCs w:val="18"/>
        </w:rPr>
        <w:t xml:space="preserve">v </w:t>
      </w:r>
      <w:r w:rsidRPr="00C41925">
        <w:rPr>
          <w:i/>
          <w:iCs/>
          <w:sz w:val="18"/>
          <w:szCs w:val="18"/>
        </w:rPr>
        <w:t xml:space="preserve">Green </w:t>
      </w:r>
      <w:r w:rsidRPr="00C41925">
        <w:rPr>
          <w:i/>
          <w:sz w:val="18"/>
          <w:szCs w:val="18"/>
        </w:rPr>
        <w:t>(No. 3)</w:t>
      </w:r>
      <w:r w:rsidRPr="00C41925">
        <w:rPr>
          <w:sz w:val="18"/>
          <w:szCs w:val="18"/>
        </w:rPr>
        <w:t xml:space="preserve"> [1982] 1 Ch. 529, CA per Lord Denning MR at 539 E.</w:t>
      </w:r>
      <w:proofErr w:type="gramEnd"/>
    </w:p>
  </w:footnote>
  <w:footnote w:id="99">
    <w:p w:rsidR="00BE0CB8" w:rsidRPr="00C41925" w:rsidRDefault="00BE0CB8" w:rsidP="00D17E9E">
      <w:pPr>
        <w:pStyle w:val="FootnoteText"/>
        <w:ind w:left="567" w:hanging="567"/>
        <w:rPr>
          <w:sz w:val="18"/>
          <w:szCs w:val="18"/>
          <w:lang w:val="sv-SE"/>
        </w:rPr>
      </w:pPr>
      <w:r w:rsidRPr="00C41925">
        <w:rPr>
          <w:rStyle w:val="FootnoteReference"/>
          <w:sz w:val="18"/>
          <w:szCs w:val="18"/>
        </w:rPr>
        <w:footnoteRef/>
      </w:r>
      <w:r w:rsidRPr="00C41925">
        <w:rPr>
          <w:sz w:val="18"/>
          <w:szCs w:val="18"/>
          <w:lang w:val="sv-SE"/>
        </w:rPr>
        <w:t xml:space="preserve"> </w:t>
      </w:r>
      <w:r w:rsidRPr="00C41925">
        <w:rPr>
          <w:sz w:val="18"/>
          <w:szCs w:val="18"/>
          <w:lang w:val="sv-SE"/>
        </w:rPr>
        <w:tab/>
      </w:r>
      <w:r w:rsidRPr="00C41925">
        <w:rPr>
          <w:i/>
          <w:iCs/>
          <w:sz w:val="18"/>
          <w:szCs w:val="18"/>
          <w:lang w:val="sv-SE"/>
        </w:rPr>
        <w:t xml:space="preserve">Knuller, op cit </w:t>
      </w:r>
      <w:r w:rsidRPr="00C41925">
        <w:rPr>
          <w:sz w:val="18"/>
          <w:szCs w:val="18"/>
          <w:lang w:val="sv-SE"/>
        </w:rPr>
        <w:t xml:space="preserve">476 D.  See also  </w:t>
      </w:r>
      <w:r w:rsidRPr="00C41925">
        <w:rPr>
          <w:rFonts w:cs="Courier New"/>
          <w:i/>
          <w:sz w:val="18"/>
          <w:szCs w:val="18"/>
        </w:rPr>
        <w:t>Jones</w:t>
      </w:r>
      <w:r w:rsidRPr="00C41925">
        <w:rPr>
          <w:rFonts w:cs="Courier New"/>
          <w:sz w:val="18"/>
          <w:szCs w:val="18"/>
        </w:rPr>
        <w:t xml:space="preserve"> (1703) 1 Salt 379, </w:t>
      </w:r>
      <w:r w:rsidRPr="00C41925">
        <w:rPr>
          <w:rFonts w:cs="Arial"/>
          <w:sz w:val="18"/>
          <w:szCs w:val="18"/>
        </w:rPr>
        <w:t xml:space="preserve">2 </w:t>
      </w:r>
      <w:r w:rsidRPr="00C41925">
        <w:rPr>
          <w:rFonts w:cs="Courier New"/>
          <w:sz w:val="18"/>
          <w:szCs w:val="18"/>
        </w:rPr>
        <w:t xml:space="preserve">Ld. </w:t>
      </w:r>
      <w:proofErr w:type="gramStart"/>
      <w:r w:rsidRPr="00C41925">
        <w:rPr>
          <w:rFonts w:cs="Courier New"/>
          <w:sz w:val="18"/>
          <w:szCs w:val="18"/>
        </w:rPr>
        <w:t>Rap.</w:t>
      </w:r>
      <w:proofErr w:type="gramEnd"/>
      <w:r w:rsidRPr="00C41925">
        <w:rPr>
          <w:rFonts w:cs="Courier New"/>
          <w:sz w:val="18"/>
          <w:szCs w:val="18"/>
        </w:rPr>
        <w:t xml:space="preserve"> 1013 per Holt C.J: "</w:t>
      </w:r>
      <w:r w:rsidRPr="00C41925">
        <w:rPr>
          <w:rFonts w:cs="Courier New"/>
          <w:i/>
          <w:sz w:val="18"/>
          <w:szCs w:val="18"/>
        </w:rPr>
        <w:t xml:space="preserve">We are not to indict one man for making a fool </w:t>
      </w:r>
      <w:r w:rsidRPr="00C41925">
        <w:rPr>
          <w:rFonts w:cs="Courier New"/>
          <w:b/>
          <w:bCs/>
          <w:i/>
          <w:sz w:val="18"/>
          <w:szCs w:val="18"/>
        </w:rPr>
        <w:t xml:space="preserve">of </w:t>
      </w:r>
      <w:r w:rsidRPr="00C41925">
        <w:rPr>
          <w:rFonts w:cs="Courier New"/>
          <w:i/>
          <w:sz w:val="18"/>
          <w:szCs w:val="18"/>
        </w:rPr>
        <w:t>another</w:t>
      </w:r>
      <w:r w:rsidRPr="00C41925">
        <w:rPr>
          <w:rFonts w:cs="Courier New"/>
          <w:sz w:val="18"/>
          <w:szCs w:val="18"/>
        </w:rPr>
        <w:t>.”</w:t>
      </w:r>
    </w:p>
  </w:footnote>
  <w:footnote w:id="100">
    <w:p w:rsidR="00BE0CB8" w:rsidRPr="00C41925" w:rsidRDefault="00BE0CB8" w:rsidP="00D17E9E">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spellStart"/>
      <w:proofErr w:type="gramStart"/>
      <w:r w:rsidRPr="00C41925">
        <w:rPr>
          <w:i/>
          <w:sz w:val="18"/>
          <w:szCs w:val="18"/>
        </w:rPr>
        <w:t>Mulcahy</w:t>
      </w:r>
      <w:proofErr w:type="spellEnd"/>
      <w:r w:rsidRPr="00C41925">
        <w:rPr>
          <w:i/>
          <w:sz w:val="18"/>
          <w:szCs w:val="18"/>
        </w:rPr>
        <w:t xml:space="preserve"> v The Queen</w:t>
      </w:r>
      <w:r w:rsidRPr="00C41925">
        <w:rPr>
          <w:sz w:val="18"/>
          <w:szCs w:val="18"/>
        </w:rPr>
        <w:t>, (1868) L.R. 3 HL 306, at 317, §11.</w:t>
      </w:r>
      <w:proofErr w:type="gramEnd"/>
      <w:r w:rsidRPr="00C41925">
        <w:rPr>
          <w:sz w:val="18"/>
          <w:szCs w:val="18"/>
        </w:rPr>
        <w:t xml:space="preserve"> </w:t>
      </w:r>
    </w:p>
  </w:footnote>
  <w:footnote w:id="101">
    <w:p w:rsidR="00A37A69" w:rsidRPr="00C41925" w:rsidRDefault="00A37A69" w:rsidP="00A37A6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i/>
          <w:sz w:val="18"/>
          <w:szCs w:val="18"/>
        </w:rPr>
        <w:t>Edwards</w:t>
      </w:r>
      <w:r w:rsidRPr="00C41925">
        <w:rPr>
          <w:sz w:val="18"/>
          <w:szCs w:val="18"/>
        </w:rPr>
        <w:t xml:space="preserve"> (1725) 8 Mod 320; </w:t>
      </w:r>
      <w:r w:rsidRPr="00C41925">
        <w:rPr>
          <w:i/>
          <w:sz w:val="18"/>
          <w:szCs w:val="18"/>
        </w:rPr>
        <w:t>Herbert</w:t>
      </w:r>
      <w:r w:rsidRPr="00C41925">
        <w:rPr>
          <w:sz w:val="18"/>
          <w:szCs w:val="18"/>
        </w:rPr>
        <w:t xml:space="preserve"> (1759) 1 East P.C 491; </w:t>
      </w:r>
      <w:r w:rsidRPr="00C41925">
        <w:rPr>
          <w:i/>
          <w:sz w:val="18"/>
          <w:szCs w:val="18"/>
        </w:rPr>
        <w:t>Compton</w:t>
      </w:r>
      <w:r w:rsidRPr="00C41925">
        <w:rPr>
          <w:sz w:val="18"/>
          <w:szCs w:val="18"/>
        </w:rPr>
        <w:t xml:space="preserve"> (1783) </w:t>
      </w:r>
      <w:proofErr w:type="spellStart"/>
      <w:r w:rsidRPr="00C41925">
        <w:rPr>
          <w:sz w:val="18"/>
          <w:szCs w:val="18"/>
        </w:rPr>
        <w:t>Cald</w:t>
      </w:r>
      <w:proofErr w:type="spellEnd"/>
      <w:r w:rsidRPr="00C41925">
        <w:rPr>
          <w:sz w:val="18"/>
          <w:szCs w:val="18"/>
        </w:rPr>
        <w:t xml:space="preserve"> 246.</w:t>
      </w:r>
      <w:proofErr w:type="gramEnd"/>
      <w:r w:rsidRPr="00C41925">
        <w:rPr>
          <w:sz w:val="18"/>
          <w:szCs w:val="18"/>
        </w:rPr>
        <w:t xml:space="preserve"> </w:t>
      </w:r>
    </w:p>
  </w:footnote>
  <w:footnote w:id="102">
    <w:p w:rsidR="00A37A69" w:rsidRPr="00C41925" w:rsidRDefault="00A37A69" w:rsidP="00A37A6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i/>
          <w:sz w:val="18"/>
          <w:szCs w:val="18"/>
        </w:rPr>
        <w:t>Seward</w:t>
      </w:r>
      <w:r>
        <w:rPr>
          <w:sz w:val="18"/>
          <w:szCs w:val="18"/>
        </w:rPr>
        <w:t xml:space="preserve">, (1834) 1 A&amp;E 706, </w:t>
      </w:r>
      <w:r w:rsidRPr="00C41925">
        <w:rPr>
          <w:sz w:val="18"/>
          <w:szCs w:val="18"/>
        </w:rPr>
        <w:t xml:space="preserve">per Taunton J. and see </w:t>
      </w:r>
      <w:proofErr w:type="spellStart"/>
      <w:r w:rsidRPr="00C41925">
        <w:rPr>
          <w:sz w:val="18"/>
          <w:szCs w:val="18"/>
        </w:rPr>
        <w:t>Foweler</w:t>
      </w:r>
      <w:proofErr w:type="spellEnd"/>
      <w:r w:rsidRPr="00C41925">
        <w:rPr>
          <w:sz w:val="18"/>
          <w:szCs w:val="18"/>
        </w:rPr>
        <w:t>, (1788) 1 East PC 461 and Parkhouse (1792) 1 East PC 402.</w:t>
      </w:r>
      <w:proofErr w:type="gramEnd"/>
      <w:r>
        <w:rPr>
          <w:sz w:val="18"/>
          <w:szCs w:val="18"/>
        </w:rPr>
        <w:t xml:space="preserve">  It appears that bribing a man to marry a woman was unlawful, but the judicious offer of what amounted to a bridal dowry was probably permissible. </w:t>
      </w:r>
    </w:p>
  </w:footnote>
  <w:footnote w:id="103">
    <w:p w:rsidR="00A37A69" w:rsidRPr="00C41925" w:rsidRDefault="00A37A69" w:rsidP="00A37A6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i/>
          <w:sz w:val="18"/>
          <w:szCs w:val="18"/>
        </w:rPr>
        <w:t>Evans</w:t>
      </w:r>
      <w:r w:rsidRPr="00C41925">
        <w:rPr>
          <w:rFonts w:cs="Times New Roman"/>
          <w:sz w:val="18"/>
          <w:szCs w:val="18"/>
        </w:rPr>
        <w:t xml:space="preserve"> </w:t>
      </w:r>
      <w:r w:rsidRPr="00C41925">
        <w:rPr>
          <w:color w:val="000000"/>
          <w:sz w:val="18"/>
          <w:szCs w:val="18"/>
          <w:shd w:val="clear" w:color="auto" w:fill="FFFFFF"/>
        </w:rPr>
        <w:t>[</w:t>
      </w:r>
      <w:r w:rsidRPr="00C41925">
        <w:rPr>
          <w:rFonts w:cs="Times New Roman"/>
          <w:bCs/>
          <w:sz w:val="18"/>
          <w:szCs w:val="18"/>
          <w:lang w:eastAsia="en-GB"/>
        </w:rPr>
        <w:t>2014] 1 W.L.R. 2817</w:t>
      </w:r>
      <w:r w:rsidRPr="00C41925">
        <w:rPr>
          <w:rFonts w:cs="Times New Roman"/>
          <w:sz w:val="18"/>
          <w:szCs w:val="18"/>
        </w:rPr>
        <w:t xml:space="preserve"> (Cardiff Crown Court) at §173.</w:t>
      </w:r>
      <w:proofErr w:type="gramEnd"/>
      <w:r w:rsidRPr="00C41925">
        <w:rPr>
          <w:rFonts w:cs="Times New Roman"/>
          <w:sz w:val="18"/>
          <w:szCs w:val="18"/>
        </w:rPr>
        <w:t xml:space="preserve">  </w:t>
      </w:r>
      <w:r w:rsidRPr="00C41925">
        <w:rPr>
          <w:rFonts w:cs="Times New Roman"/>
          <w:bCs/>
          <w:sz w:val="18"/>
          <w:szCs w:val="18"/>
          <w:lang w:eastAsia="en-GB"/>
        </w:rPr>
        <w:t xml:space="preserve">In </w:t>
      </w:r>
      <w:r w:rsidRPr="00C41925">
        <w:rPr>
          <w:rFonts w:cs="Times New Roman"/>
          <w:bCs/>
          <w:i/>
          <w:sz w:val="18"/>
          <w:szCs w:val="18"/>
          <w:lang w:eastAsia="en-GB"/>
        </w:rPr>
        <w:t>Evans</w:t>
      </w:r>
      <w:r w:rsidRPr="00C41925">
        <w:rPr>
          <w:rFonts w:cs="Times New Roman"/>
          <w:bCs/>
          <w:sz w:val="18"/>
          <w:szCs w:val="18"/>
          <w:lang w:eastAsia="en-GB"/>
        </w:rPr>
        <w:t>, it was alleged that the defendants had defrauded local authorities and The Coal Authority by seeking to limit the effectiveness of their ability to enforce and recover the costs of restoration of open cast mining site.</w:t>
      </w:r>
    </w:p>
  </w:footnote>
  <w:footnote w:id="104">
    <w:p w:rsidR="00BE0CB8" w:rsidRDefault="00BE0CB8" w:rsidP="00D17E9E">
      <w:pPr>
        <w:pStyle w:val="FootnoteText"/>
        <w:ind w:left="567" w:hanging="567"/>
      </w:pPr>
      <w:r>
        <w:rPr>
          <w:rStyle w:val="FootnoteReference"/>
        </w:rPr>
        <w:footnoteRef/>
      </w:r>
      <w:r>
        <w:t xml:space="preserve"> </w:t>
      </w:r>
      <w:r>
        <w:tab/>
      </w:r>
      <w:r w:rsidRPr="007742DC">
        <w:rPr>
          <w:rFonts w:cs="Times New Roman"/>
          <w:i/>
          <w:sz w:val="18"/>
          <w:szCs w:val="18"/>
        </w:rPr>
        <w:t>Jones</w:t>
      </w:r>
      <w:r>
        <w:rPr>
          <w:rFonts w:cs="Times New Roman"/>
          <w:sz w:val="18"/>
          <w:szCs w:val="18"/>
        </w:rPr>
        <w:t xml:space="preserve"> </w:t>
      </w:r>
      <w:proofErr w:type="gramStart"/>
      <w:r>
        <w:rPr>
          <w:rFonts w:cs="Times New Roman"/>
          <w:sz w:val="18"/>
          <w:szCs w:val="18"/>
        </w:rPr>
        <w:t>(</w:t>
      </w:r>
      <w:r w:rsidRPr="00C5540A">
        <w:rPr>
          <w:rFonts w:cs="Times New Roman"/>
          <w:sz w:val="18"/>
          <w:szCs w:val="18"/>
        </w:rPr>
        <w:t xml:space="preserve"> 831</w:t>
      </w:r>
      <w:proofErr w:type="gramEnd"/>
      <w:r w:rsidRPr="00C5540A">
        <w:rPr>
          <w:rFonts w:cs="Times New Roman"/>
          <w:sz w:val="18"/>
          <w:szCs w:val="18"/>
        </w:rPr>
        <w:t xml:space="preserve">) 4 </w:t>
      </w:r>
      <w:r w:rsidRPr="00C5540A">
        <w:rPr>
          <w:rFonts w:cs="Arial"/>
          <w:sz w:val="18"/>
          <w:szCs w:val="18"/>
        </w:rPr>
        <w:t xml:space="preserve">B. &amp; </w:t>
      </w:r>
      <w:r w:rsidRPr="00C5540A">
        <w:rPr>
          <w:rFonts w:cs="Times New Roman"/>
          <w:sz w:val="18"/>
          <w:szCs w:val="18"/>
        </w:rPr>
        <w:t>Ad. 345</w:t>
      </w:r>
    </w:p>
  </w:footnote>
  <w:footnote w:id="105">
    <w:p w:rsidR="00BE0CB8" w:rsidRDefault="00BE0CB8" w:rsidP="00D17E9E">
      <w:pPr>
        <w:pStyle w:val="FootnoteText"/>
        <w:ind w:left="567" w:hanging="567"/>
      </w:pPr>
      <w:r>
        <w:rPr>
          <w:rStyle w:val="FootnoteReference"/>
        </w:rPr>
        <w:footnoteRef/>
      </w:r>
      <w:r>
        <w:t xml:space="preserve"> </w:t>
      </w:r>
      <w:r>
        <w:tab/>
      </w:r>
      <w:proofErr w:type="gramStart"/>
      <w:r w:rsidRPr="007742DC">
        <w:rPr>
          <w:i/>
          <w:sz w:val="18"/>
          <w:szCs w:val="18"/>
        </w:rPr>
        <w:t>Peck</w:t>
      </w:r>
      <w:r w:rsidRPr="007742DC">
        <w:rPr>
          <w:sz w:val="18"/>
          <w:szCs w:val="18"/>
        </w:rPr>
        <w:t xml:space="preserve"> (1839) 9 A&amp;E 686</w:t>
      </w:r>
      <w:r w:rsidRPr="007742DC">
        <w:rPr>
          <w:sz w:val="24"/>
          <w:szCs w:val="18"/>
        </w:rPr>
        <w:t>.</w:t>
      </w:r>
      <w:proofErr w:type="gramEnd"/>
    </w:p>
  </w:footnote>
  <w:footnote w:id="106">
    <w:p w:rsidR="00BE0CB8" w:rsidRDefault="00BE0CB8" w:rsidP="007239DF">
      <w:pPr>
        <w:pStyle w:val="FootnoteText"/>
        <w:ind w:left="567" w:hanging="567"/>
      </w:pPr>
      <w:r>
        <w:rPr>
          <w:rStyle w:val="FootnoteReference"/>
        </w:rPr>
        <w:footnoteRef/>
      </w:r>
      <w:r>
        <w:t xml:space="preserve"> </w:t>
      </w:r>
      <w:r>
        <w:tab/>
      </w:r>
      <w:r w:rsidRPr="007742DC">
        <w:rPr>
          <w:i/>
          <w:sz w:val="18"/>
          <w:szCs w:val="18"/>
        </w:rPr>
        <w:t>King</w:t>
      </w:r>
      <w:r w:rsidRPr="007742DC">
        <w:rPr>
          <w:sz w:val="18"/>
          <w:szCs w:val="18"/>
        </w:rPr>
        <w:t>, (1844) 7 QB 782</w:t>
      </w:r>
    </w:p>
  </w:footnote>
  <w:footnote w:id="107">
    <w:p w:rsidR="00BE0CB8" w:rsidRDefault="00BE0CB8" w:rsidP="00D17E9E">
      <w:pPr>
        <w:pStyle w:val="FootnoteText"/>
        <w:ind w:left="567" w:hanging="567"/>
      </w:pPr>
      <w:r>
        <w:rPr>
          <w:rStyle w:val="FootnoteReference"/>
        </w:rPr>
        <w:footnoteRef/>
      </w:r>
      <w:r>
        <w:t xml:space="preserve"> </w:t>
      </w:r>
      <w:r>
        <w:tab/>
      </w:r>
      <w:proofErr w:type="gramStart"/>
      <w:r w:rsidRPr="005B7E17">
        <w:rPr>
          <w:i/>
        </w:rPr>
        <w:t>Kamara</w:t>
      </w:r>
      <w:r>
        <w:rPr>
          <w:i/>
        </w:rPr>
        <w:t xml:space="preserve"> v DPP</w:t>
      </w:r>
      <w:r w:rsidRPr="00F25CC7">
        <w:t xml:space="preserve"> (1973) 57 </w:t>
      </w:r>
      <w:proofErr w:type="spellStart"/>
      <w:r w:rsidRPr="00F25CC7">
        <w:t>Cr.App.R</w:t>
      </w:r>
      <w:proofErr w:type="spellEnd"/>
      <w:r w:rsidRPr="00F25CC7">
        <w:t>.</w:t>
      </w:r>
      <w:proofErr w:type="gramEnd"/>
      <w:r w:rsidRPr="00F25CC7">
        <w:t xml:space="preserve"> 880</w:t>
      </w:r>
    </w:p>
  </w:footnote>
  <w:footnote w:id="108">
    <w:p w:rsidR="00BE0CB8" w:rsidRPr="00C41925" w:rsidRDefault="00BE0CB8" w:rsidP="00D17E9E">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Wright, </w:t>
      </w:r>
      <w:r w:rsidRPr="00C41925">
        <w:rPr>
          <w:i/>
          <w:sz w:val="18"/>
          <w:szCs w:val="18"/>
        </w:rPr>
        <w:t xml:space="preserve">op </w:t>
      </w:r>
      <w:proofErr w:type="spellStart"/>
      <w:r w:rsidRPr="00C41925">
        <w:rPr>
          <w:i/>
          <w:sz w:val="18"/>
          <w:szCs w:val="18"/>
        </w:rPr>
        <w:t>cit</w:t>
      </w:r>
      <w:proofErr w:type="spellEnd"/>
      <w:r w:rsidRPr="00C41925">
        <w:rPr>
          <w:sz w:val="18"/>
          <w:szCs w:val="18"/>
        </w:rPr>
        <w:t xml:space="preserve">  analyses the earlier cases and states (p66) : “</w:t>
      </w:r>
      <w:r w:rsidRPr="00C41925">
        <w:rPr>
          <w:i/>
          <w:sz w:val="18"/>
          <w:szCs w:val="18"/>
        </w:rPr>
        <w:t xml:space="preserve">The truth is that the word “unlawful,” when it is used as coextensive with criminal combination, now includes all criminal purposes and some purposes wrongful but not criminal apart from combination.” </w:t>
      </w:r>
    </w:p>
  </w:footnote>
  <w:footnote w:id="109">
    <w:p w:rsidR="00BE0CB8" w:rsidRPr="00C41925" w:rsidRDefault="00BE0CB8" w:rsidP="00D17E9E">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Warburton,</w:t>
      </w:r>
      <w:r w:rsidRPr="00C41925">
        <w:rPr>
          <w:sz w:val="18"/>
          <w:szCs w:val="18"/>
        </w:rPr>
        <w:t xml:space="preserve">  (1870) LR 1CC 274</w:t>
      </w:r>
    </w:p>
  </w:footnote>
  <w:footnote w:id="110">
    <w:p w:rsidR="00BE0CB8" w:rsidRPr="00641F49" w:rsidRDefault="00BE0CB8" w:rsidP="0061514B">
      <w:pPr>
        <w:autoSpaceDE w:val="0"/>
        <w:autoSpaceDN w:val="0"/>
        <w:adjustRightInd w:val="0"/>
        <w:spacing w:after="0" w:line="240" w:lineRule="auto"/>
        <w:ind w:left="567" w:hanging="567"/>
        <w:rPr>
          <w:sz w:val="18"/>
          <w:szCs w:val="18"/>
        </w:rPr>
      </w:pPr>
      <w:r>
        <w:rPr>
          <w:rStyle w:val="FootnoteReference"/>
        </w:rPr>
        <w:footnoteRef/>
      </w:r>
      <w:r>
        <w:t xml:space="preserve"> </w:t>
      </w:r>
      <w:r>
        <w:tab/>
      </w:r>
      <w:r w:rsidRPr="00641F49">
        <w:rPr>
          <w:sz w:val="18"/>
          <w:szCs w:val="18"/>
        </w:rPr>
        <w:t xml:space="preserve">“. </w:t>
      </w:r>
      <w:r w:rsidRPr="00641F49">
        <w:rPr>
          <w:i/>
          <w:sz w:val="18"/>
          <w:szCs w:val="18"/>
        </w:rPr>
        <w:t xml:space="preserve">. </w:t>
      </w:r>
      <w:r w:rsidRPr="00641F49">
        <w:rPr>
          <w:rFonts w:cs="Times New Roman"/>
          <w:i/>
          <w:sz w:val="18"/>
          <w:szCs w:val="18"/>
        </w:rPr>
        <w:t>a number of actions and things not in themselves actionable or unlawful if done separately without conspiracy, may, with conspiracy, become dangerous and alarming</w:t>
      </w:r>
      <w:r w:rsidRPr="00641F49">
        <w:rPr>
          <w:rFonts w:cs="Times New Roman"/>
          <w:sz w:val="18"/>
          <w:szCs w:val="18"/>
        </w:rPr>
        <w:t xml:space="preserve">.” per Lord Brampton in </w:t>
      </w:r>
      <w:r w:rsidRPr="00641F49">
        <w:rPr>
          <w:rFonts w:cs="Times New Roman"/>
          <w:i/>
          <w:sz w:val="18"/>
          <w:szCs w:val="18"/>
        </w:rPr>
        <w:t xml:space="preserve">Quinn  v </w:t>
      </w:r>
      <w:proofErr w:type="spellStart"/>
      <w:r w:rsidRPr="00641F49">
        <w:rPr>
          <w:rFonts w:cs="Times New Roman"/>
          <w:i/>
          <w:sz w:val="18"/>
          <w:szCs w:val="18"/>
        </w:rPr>
        <w:t>Leathem</w:t>
      </w:r>
      <w:proofErr w:type="spellEnd"/>
      <w:r w:rsidRPr="00641F49">
        <w:rPr>
          <w:rFonts w:cs="Times New Roman"/>
          <w:sz w:val="18"/>
          <w:szCs w:val="18"/>
        </w:rPr>
        <w:t xml:space="preserve"> [1901] A.C 495 at 530;  “</w:t>
      </w:r>
      <w:r w:rsidRPr="00641F49">
        <w:rPr>
          <w:rFonts w:cs="Times New Roman"/>
          <w:i/>
          <w:sz w:val="18"/>
          <w:szCs w:val="18"/>
        </w:rPr>
        <w:t>that certain kinds of conduct not criminal in anyone individual may become criminal if done by combination among several, there can be no doubt</w:t>
      </w:r>
      <w:r w:rsidRPr="00641F49">
        <w:rPr>
          <w:rFonts w:cs="Times New Roman"/>
          <w:sz w:val="18"/>
          <w:szCs w:val="18"/>
        </w:rPr>
        <w:t xml:space="preserve">”  per Bowen LJ in </w:t>
      </w:r>
      <w:r w:rsidRPr="00641F49">
        <w:rPr>
          <w:rFonts w:cs="Times New Roman"/>
          <w:i/>
          <w:sz w:val="18"/>
          <w:szCs w:val="18"/>
        </w:rPr>
        <w:t xml:space="preserve">Moghul Steamships Co. v McGregor, </w:t>
      </w:r>
      <w:proofErr w:type="spellStart"/>
      <w:r w:rsidRPr="00641F49">
        <w:rPr>
          <w:rFonts w:cs="Times New Roman"/>
          <w:i/>
          <w:sz w:val="18"/>
          <w:szCs w:val="18"/>
        </w:rPr>
        <w:t>Gow</w:t>
      </w:r>
      <w:proofErr w:type="spellEnd"/>
      <w:r w:rsidRPr="00641F49">
        <w:rPr>
          <w:rFonts w:cs="Times New Roman"/>
          <w:i/>
          <w:sz w:val="18"/>
          <w:szCs w:val="18"/>
        </w:rPr>
        <w:t xml:space="preserve"> &amp; Co.</w:t>
      </w:r>
      <w:r w:rsidRPr="00641F49">
        <w:rPr>
          <w:rFonts w:cs="Times New Roman"/>
          <w:sz w:val="18"/>
          <w:szCs w:val="18"/>
        </w:rPr>
        <w:t xml:space="preserve"> (1889) 23 </w:t>
      </w:r>
      <w:r w:rsidRPr="00641F49">
        <w:rPr>
          <w:rFonts w:cs="Arial"/>
          <w:sz w:val="18"/>
          <w:szCs w:val="18"/>
        </w:rPr>
        <w:t xml:space="preserve">Q.B.D. </w:t>
      </w:r>
      <w:r w:rsidRPr="00641F49">
        <w:rPr>
          <w:rFonts w:cs="Times New Roman"/>
          <w:sz w:val="18"/>
          <w:szCs w:val="18"/>
        </w:rPr>
        <w:t>598 CA at p. 616;  “</w:t>
      </w:r>
      <w:r w:rsidRPr="00641F49">
        <w:rPr>
          <w:rFonts w:cs="Times New Roman"/>
          <w:i/>
          <w:sz w:val="18"/>
          <w:szCs w:val="18"/>
        </w:rPr>
        <w:t>No conspiracy is, in my opinion, known to the law which has not for its object the accomplishment of an unlawful act (not necessarily a criminal act)</w:t>
      </w:r>
      <w:r w:rsidRPr="00641F49">
        <w:rPr>
          <w:rFonts w:cs="Times New Roman"/>
          <w:sz w:val="18"/>
          <w:szCs w:val="18"/>
        </w:rPr>
        <w:t xml:space="preserve">”  per Bingham J in </w:t>
      </w:r>
      <w:r w:rsidRPr="00641F49">
        <w:rPr>
          <w:rFonts w:cs="Times New Roman"/>
          <w:i/>
          <w:sz w:val="18"/>
          <w:szCs w:val="18"/>
        </w:rPr>
        <w:t>Boots v Grundy</w:t>
      </w:r>
      <w:r w:rsidRPr="00641F49">
        <w:rPr>
          <w:rFonts w:cs="Times New Roman"/>
          <w:sz w:val="18"/>
          <w:szCs w:val="18"/>
        </w:rPr>
        <w:t xml:space="preserve"> (1900) 82 L.T. 769 at 772: and see </w:t>
      </w:r>
      <w:r w:rsidRPr="00641F49">
        <w:rPr>
          <w:rFonts w:cs="Times New Roman"/>
          <w:i/>
          <w:sz w:val="18"/>
          <w:szCs w:val="18"/>
        </w:rPr>
        <w:t xml:space="preserve">Kamara v DPP </w:t>
      </w:r>
      <w:r w:rsidRPr="00641F49">
        <w:rPr>
          <w:rFonts w:cs="Times New Roman"/>
          <w:sz w:val="18"/>
          <w:szCs w:val="18"/>
        </w:rPr>
        <w:t>/[1974] AC 104</w:t>
      </w:r>
      <w:r w:rsidRPr="00641F49">
        <w:rPr>
          <w:rFonts w:cs="Times New Roman"/>
          <w:i/>
          <w:sz w:val="18"/>
          <w:szCs w:val="18"/>
        </w:rPr>
        <w:t xml:space="preserve">, </w:t>
      </w:r>
      <w:r w:rsidRPr="00641F49">
        <w:rPr>
          <w:sz w:val="18"/>
          <w:szCs w:val="18"/>
        </w:rPr>
        <w:t xml:space="preserve">(1973) 57 </w:t>
      </w:r>
      <w:proofErr w:type="spellStart"/>
      <w:r w:rsidRPr="00641F49">
        <w:rPr>
          <w:sz w:val="18"/>
          <w:szCs w:val="18"/>
        </w:rPr>
        <w:t>Cr.App.R</w:t>
      </w:r>
      <w:proofErr w:type="spellEnd"/>
      <w:r w:rsidRPr="00641F49">
        <w:rPr>
          <w:sz w:val="18"/>
          <w:szCs w:val="18"/>
        </w:rPr>
        <w:t>. 880.</w:t>
      </w:r>
    </w:p>
  </w:footnote>
  <w:footnote w:id="111">
    <w:p w:rsidR="00BE0CB8" w:rsidRPr="00641F49" w:rsidRDefault="00BE0CB8" w:rsidP="00D17E9E">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t xml:space="preserve">Law Commission: </w:t>
      </w:r>
      <w:r w:rsidRPr="00641F49">
        <w:rPr>
          <w:i/>
          <w:sz w:val="18"/>
          <w:szCs w:val="18"/>
        </w:rPr>
        <w:t>Report on Conspiracy and Criminal Law Reform</w:t>
      </w:r>
      <w:r w:rsidRPr="00641F49">
        <w:rPr>
          <w:sz w:val="18"/>
          <w:szCs w:val="18"/>
        </w:rPr>
        <w:t>: Law Com no. 76: 17 Mar 1976.</w:t>
      </w:r>
    </w:p>
  </w:footnote>
  <w:footnote w:id="112">
    <w:p w:rsidR="00BE0CB8" w:rsidRPr="00641F49" w:rsidRDefault="00BE0CB8" w:rsidP="00F71B75">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r w:rsidRPr="00641F49">
        <w:rPr>
          <w:i/>
          <w:sz w:val="18"/>
          <w:szCs w:val="18"/>
        </w:rPr>
        <w:t>Criminal Law Act</w:t>
      </w:r>
      <w:r w:rsidRPr="00641F49">
        <w:rPr>
          <w:sz w:val="18"/>
          <w:szCs w:val="18"/>
        </w:rPr>
        <w:t xml:space="preserve"> 1977 sections 1 and 5</w:t>
      </w:r>
    </w:p>
  </w:footnote>
  <w:footnote w:id="113">
    <w:p w:rsidR="00BE0CB8" w:rsidRPr="00641F49" w:rsidRDefault="00BE0CB8" w:rsidP="0061514B">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proofErr w:type="gramStart"/>
      <w:r w:rsidRPr="00641F49">
        <w:rPr>
          <w:i/>
          <w:sz w:val="18"/>
          <w:szCs w:val="18"/>
        </w:rPr>
        <w:t>Ayres</w:t>
      </w:r>
      <w:r w:rsidRPr="00641F49">
        <w:rPr>
          <w:sz w:val="18"/>
          <w:szCs w:val="18"/>
        </w:rPr>
        <w:t xml:space="preserve">, [1984] 1 ac 447, HL; (1984) 78 </w:t>
      </w:r>
      <w:proofErr w:type="spellStart"/>
      <w:r w:rsidRPr="00641F49">
        <w:rPr>
          <w:sz w:val="18"/>
          <w:szCs w:val="18"/>
        </w:rPr>
        <w:t>Cr.App.R</w:t>
      </w:r>
      <w:proofErr w:type="spellEnd"/>
      <w:r w:rsidRPr="00641F49">
        <w:rPr>
          <w:sz w:val="18"/>
          <w:szCs w:val="18"/>
        </w:rPr>
        <w:t>.</w:t>
      </w:r>
      <w:proofErr w:type="gramEnd"/>
      <w:r w:rsidRPr="00641F49">
        <w:rPr>
          <w:sz w:val="18"/>
          <w:szCs w:val="18"/>
        </w:rPr>
        <w:t xml:space="preserve"> 232</w:t>
      </w:r>
    </w:p>
  </w:footnote>
  <w:footnote w:id="114">
    <w:p w:rsidR="00BE0CB8" w:rsidRPr="00641F49" w:rsidRDefault="00BE0CB8" w:rsidP="009F1C6F">
      <w:pPr>
        <w:autoSpaceDE w:val="0"/>
        <w:autoSpaceDN w:val="0"/>
        <w:adjustRightInd w:val="0"/>
        <w:spacing w:after="0" w:line="240" w:lineRule="auto"/>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r w:rsidRPr="00641F49">
        <w:rPr>
          <w:i/>
          <w:sz w:val="18"/>
          <w:szCs w:val="18"/>
        </w:rPr>
        <w:t xml:space="preserve">Ayres </w:t>
      </w:r>
      <w:r w:rsidRPr="00641F49">
        <w:rPr>
          <w:sz w:val="18"/>
          <w:szCs w:val="18"/>
        </w:rPr>
        <w:t>[1984] AC 447 HL at 451E-F: “</w:t>
      </w:r>
      <w:r w:rsidRPr="00641F49">
        <w:rPr>
          <w:rFonts w:cs="Times New Roman"/>
          <w:i/>
          <w:sz w:val="18"/>
          <w:szCs w:val="18"/>
        </w:rPr>
        <w:t>At common law the offence was committed by an agreement to do an unlawful act or an agreement to do a lawful act by an unlawful means, even if the unlawful act was not an offence. One interpretation of the presence of the second half of section 5(2) is that Parliament intended to make it clear that despite section 1(1) conspiracy to defraud did not require a conspiracy to commit an offence.</w:t>
      </w:r>
      <w:r w:rsidRPr="00641F49">
        <w:rPr>
          <w:rFonts w:cs="Times New Roman"/>
          <w:sz w:val="18"/>
          <w:szCs w:val="18"/>
        </w:rPr>
        <w:t>”</w:t>
      </w:r>
    </w:p>
  </w:footnote>
  <w:footnote w:id="115">
    <w:p w:rsidR="00BE0CB8" w:rsidRPr="00641F49" w:rsidRDefault="00BE0CB8" w:rsidP="00F71B75">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r w:rsidRPr="00641F49">
        <w:rPr>
          <w:i/>
          <w:sz w:val="18"/>
          <w:szCs w:val="18"/>
        </w:rPr>
        <w:t xml:space="preserve">Ayres, op </w:t>
      </w:r>
      <w:proofErr w:type="spellStart"/>
      <w:r w:rsidRPr="00641F49">
        <w:rPr>
          <w:i/>
          <w:sz w:val="18"/>
          <w:szCs w:val="18"/>
        </w:rPr>
        <w:t>cit</w:t>
      </w:r>
      <w:proofErr w:type="spellEnd"/>
      <w:r w:rsidRPr="00641F49">
        <w:rPr>
          <w:i/>
          <w:sz w:val="18"/>
          <w:szCs w:val="18"/>
        </w:rPr>
        <w:t xml:space="preserve"> </w:t>
      </w:r>
      <w:r w:rsidRPr="00641F49">
        <w:rPr>
          <w:sz w:val="18"/>
          <w:szCs w:val="18"/>
        </w:rPr>
        <w:t xml:space="preserve"> at 459G</w:t>
      </w:r>
    </w:p>
  </w:footnote>
  <w:footnote w:id="116">
    <w:p w:rsidR="00BE0CB8" w:rsidRPr="00641F49" w:rsidRDefault="00BE0CB8" w:rsidP="0061514B">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proofErr w:type="gramStart"/>
      <w:r w:rsidRPr="00641F49">
        <w:rPr>
          <w:i/>
          <w:sz w:val="18"/>
          <w:szCs w:val="18"/>
        </w:rPr>
        <w:t>Cooke</w:t>
      </w:r>
      <w:r w:rsidRPr="00641F49">
        <w:rPr>
          <w:sz w:val="18"/>
          <w:szCs w:val="18"/>
        </w:rPr>
        <w:t xml:space="preserve"> [1986] A.C. 909, HL and 83 </w:t>
      </w:r>
      <w:proofErr w:type="spellStart"/>
      <w:r w:rsidRPr="00641F49">
        <w:rPr>
          <w:sz w:val="18"/>
          <w:szCs w:val="18"/>
        </w:rPr>
        <w:t>Cr.App.R</w:t>
      </w:r>
      <w:proofErr w:type="spellEnd"/>
      <w:r w:rsidRPr="00641F49">
        <w:rPr>
          <w:sz w:val="18"/>
          <w:szCs w:val="18"/>
        </w:rPr>
        <w:t>.</w:t>
      </w:r>
      <w:proofErr w:type="gramEnd"/>
      <w:r w:rsidRPr="00641F49">
        <w:rPr>
          <w:sz w:val="18"/>
          <w:szCs w:val="18"/>
        </w:rPr>
        <w:t xml:space="preserve"> </w:t>
      </w:r>
      <w:proofErr w:type="gramStart"/>
      <w:r w:rsidRPr="00641F49">
        <w:rPr>
          <w:sz w:val="18"/>
          <w:szCs w:val="18"/>
        </w:rPr>
        <w:t>339 at 344.</w:t>
      </w:r>
      <w:proofErr w:type="gramEnd"/>
      <w:r w:rsidRPr="00641F49">
        <w:rPr>
          <w:sz w:val="18"/>
          <w:szCs w:val="18"/>
        </w:rPr>
        <w:t xml:space="preserve"> </w:t>
      </w:r>
    </w:p>
  </w:footnote>
  <w:footnote w:id="117">
    <w:p w:rsidR="00BE0CB8" w:rsidRPr="00641F49" w:rsidRDefault="00BE0CB8" w:rsidP="00F71B75">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proofErr w:type="gramStart"/>
      <w:r w:rsidRPr="00641F49">
        <w:rPr>
          <w:i/>
          <w:sz w:val="18"/>
          <w:szCs w:val="18"/>
        </w:rPr>
        <w:t xml:space="preserve">Cooke </w:t>
      </w:r>
      <w:r w:rsidRPr="00641F49">
        <w:rPr>
          <w:sz w:val="18"/>
          <w:szCs w:val="18"/>
        </w:rPr>
        <w:t xml:space="preserve"> 83</w:t>
      </w:r>
      <w:proofErr w:type="gramEnd"/>
      <w:r w:rsidRPr="00641F49">
        <w:rPr>
          <w:sz w:val="18"/>
          <w:szCs w:val="18"/>
        </w:rPr>
        <w:t xml:space="preserve"> </w:t>
      </w:r>
      <w:proofErr w:type="spellStart"/>
      <w:r w:rsidRPr="00641F49">
        <w:rPr>
          <w:sz w:val="18"/>
          <w:szCs w:val="18"/>
        </w:rPr>
        <w:t>Cr.App.R</w:t>
      </w:r>
      <w:proofErr w:type="spellEnd"/>
      <w:r w:rsidRPr="00641F49">
        <w:rPr>
          <w:sz w:val="18"/>
          <w:szCs w:val="18"/>
        </w:rPr>
        <w:t>. 339 at 343</w:t>
      </w:r>
    </w:p>
  </w:footnote>
  <w:footnote w:id="118">
    <w:p w:rsidR="00BE0CB8" w:rsidRPr="00641F49" w:rsidRDefault="00BE0CB8" w:rsidP="00F71B75">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r w:rsidRPr="00641F49">
        <w:rPr>
          <w:i/>
          <w:sz w:val="18"/>
          <w:szCs w:val="18"/>
        </w:rPr>
        <w:t xml:space="preserve">Cooke, ibid </w:t>
      </w:r>
    </w:p>
  </w:footnote>
  <w:footnote w:id="119">
    <w:p w:rsidR="00BE0CB8" w:rsidRPr="00C41925" w:rsidRDefault="00BE0CB8" w:rsidP="00F71B75">
      <w:pPr>
        <w:pStyle w:val="FootnoteText"/>
        <w:ind w:left="567" w:hanging="567"/>
        <w:rPr>
          <w:sz w:val="18"/>
          <w:szCs w:val="18"/>
        </w:rPr>
      </w:pPr>
      <w:r w:rsidRPr="00641F49">
        <w:rPr>
          <w:rStyle w:val="FootnoteReference"/>
          <w:sz w:val="18"/>
          <w:szCs w:val="18"/>
        </w:rPr>
        <w:footnoteRef/>
      </w:r>
      <w:r w:rsidRPr="00641F49">
        <w:rPr>
          <w:sz w:val="18"/>
          <w:szCs w:val="18"/>
        </w:rPr>
        <w:t xml:space="preserve"> </w:t>
      </w:r>
      <w:r w:rsidRPr="00641F49">
        <w:rPr>
          <w:sz w:val="18"/>
          <w:szCs w:val="18"/>
        </w:rPr>
        <w:tab/>
      </w:r>
      <w:r w:rsidRPr="00641F49">
        <w:rPr>
          <w:i/>
          <w:sz w:val="18"/>
          <w:szCs w:val="18"/>
        </w:rPr>
        <w:t xml:space="preserve">Cooke op. </w:t>
      </w:r>
      <w:proofErr w:type="spellStart"/>
      <w:r w:rsidRPr="00641F49">
        <w:rPr>
          <w:i/>
          <w:sz w:val="18"/>
          <w:szCs w:val="18"/>
        </w:rPr>
        <w:t>cit</w:t>
      </w:r>
      <w:proofErr w:type="spellEnd"/>
      <w:r w:rsidRPr="00641F49">
        <w:rPr>
          <w:sz w:val="18"/>
          <w:szCs w:val="18"/>
        </w:rPr>
        <w:t xml:space="preserve"> at 344</w:t>
      </w:r>
    </w:p>
  </w:footnote>
  <w:footnote w:id="120">
    <w:p w:rsidR="00BE0CB8" w:rsidRPr="00C41925" w:rsidRDefault="00BE0CB8" w:rsidP="00D17E9E">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r w:rsidRPr="00C41925">
        <w:rPr>
          <w:rFonts w:asciiTheme="minorHAnsi" w:hAnsiTheme="minorHAnsi"/>
          <w:i/>
          <w:szCs w:val="18"/>
        </w:rPr>
        <w:t>Attorney General’s Guidance on the use of the common law offence of conspiracy to defraud</w:t>
      </w:r>
      <w:r w:rsidRPr="00C41925">
        <w:rPr>
          <w:rFonts w:asciiTheme="minorHAnsi" w:hAnsiTheme="minorHAnsi"/>
          <w:szCs w:val="18"/>
        </w:rPr>
        <w:t>: 9 January 2007, para 15.</w:t>
      </w:r>
    </w:p>
  </w:footnote>
  <w:footnote w:id="121">
    <w:p w:rsidR="00641F49" w:rsidRPr="00C41925" w:rsidRDefault="00641F49" w:rsidP="00641F49">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spellStart"/>
      <w:proofErr w:type="gramStart"/>
      <w:r w:rsidRPr="00C41925">
        <w:rPr>
          <w:rFonts w:asciiTheme="minorHAnsi" w:hAnsiTheme="minorHAnsi"/>
          <w:i/>
          <w:szCs w:val="18"/>
        </w:rPr>
        <w:t>Hollinshead</w:t>
      </w:r>
      <w:proofErr w:type="spellEnd"/>
      <w:r w:rsidRPr="00C41925">
        <w:rPr>
          <w:rFonts w:asciiTheme="minorHAnsi" w:hAnsiTheme="minorHAnsi"/>
          <w:i/>
          <w:szCs w:val="18"/>
        </w:rPr>
        <w:t xml:space="preserve"> </w:t>
      </w:r>
      <w:r w:rsidRPr="00C41925">
        <w:rPr>
          <w:rFonts w:asciiTheme="minorHAnsi" w:hAnsiTheme="minorHAnsi"/>
          <w:szCs w:val="18"/>
        </w:rPr>
        <w:t>[1985] AC 975 HL.</w:t>
      </w:r>
      <w:proofErr w:type="gramEnd"/>
      <w:r w:rsidRPr="00C41925">
        <w:rPr>
          <w:rFonts w:asciiTheme="minorHAnsi" w:hAnsiTheme="minorHAnsi"/>
          <w:szCs w:val="18"/>
        </w:rPr>
        <w:t xml:space="preserve"> The statutory offence requires that the planned criminal offence should be committed by one of the parties to the agreement:   </w:t>
      </w:r>
      <w:r w:rsidRPr="00C41925">
        <w:rPr>
          <w:rFonts w:asciiTheme="minorHAnsi" w:hAnsiTheme="minorHAnsi"/>
          <w:i/>
          <w:szCs w:val="18"/>
        </w:rPr>
        <w:t>Criminal Law Act</w:t>
      </w:r>
      <w:r w:rsidRPr="00C41925">
        <w:rPr>
          <w:rFonts w:asciiTheme="minorHAnsi" w:hAnsiTheme="minorHAnsi"/>
          <w:szCs w:val="18"/>
        </w:rPr>
        <w:t xml:space="preserve"> 1977  s1(1)</w:t>
      </w:r>
    </w:p>
  </w:footnote>
  <w:footnote w:id="122">
    <w:p w:rsidR="00641F49" w:rsidRPr="00641F49" w:rsidRDefault="00641F49" w:rsidP="00641F49">
      <w:pPr>
        <w:pStyle w:val="FootnoteText"/>
        <w:ind w:left="567" w:hanging="567"/>
        <w:rPr>
          <w:sz w:val="16"/>
        </w:rPr>
      </w:pPr>
      <w:r>
        <w:rPr>
          <w:rStyle w:val="FootnoteReference"/>
        </w:rPr>
        <w:footnoteRef/>
      </w:r>
      <w:r>
        <w:t xml:space="preserve"> </w:t>
      </w:r>
      <w:r>
        <w:tab/>
      </w:r>
      <w:proofErr w:type="gramStart"/>
      <w:r w:rsidRPr="00641F49">
        <w:rPr>
          <w:rFonts w:cs="Times New Roman"/>
          <w:i/>
          <w:sz w:val="18"/>
          <w:szCs w:val="21"/>
        </w:rPr>
        <w:t>Whitaker</w:t>
      </w:r>
      <w:r w:rsidRPr="00641F49">
        <w:rPr>
          <w:rFonts w:cs="Times New Roman"/>
          <w:sz w:val="18"/>
          <w:szCs w:val="21"/>
        </w:rPr>
        <w:t xml:space="preserve"> (914) 10 </w:t>
      </w:r>
      <w:proofErr w:type="spellStart"/>
      <w:r w:rsidRPr="00641F49">
        <w:rPr>
          <w:rFonts w:cs="Times New Roman"/>
          <w:sz w:val="18"/>
          <w:szCs w:val="21"/>
        </w:rPr>
        <w:t>Cr.App.R</w:t>
      </w:r>
      <w:proofErr w:type="spellEnd"/>
      <w:r w:rsidRPr="00641F49">
        <w:rPr>
          <w:rFonts w:cs="Times New Roman"/>
          <w:sz w:val="18"/>
          <w:szCs w:val="21"/>
        </w:rPr>
        <w:t>.</w:t>
      </w:r>
      <w:proofErr w:type="gramEnd"/>
      <w:r w:rsidRPr="00641F49">
        <w:rPr>
          <w:rFonts w:cs="Times New Roman"/>
          <w:sz w:val="18"/>
          <w:szCs w:val="21"/>
        </w:rPr>
        <w:t xml:space="preserve"> 245 </w:t>
      </w:r>
      <w:r>
        <w:rPr>
          <w:rFonts w:cs="Times New Roman"/>
          <w:sz w:val="18"/>
          <w:szCs w:val="21"/>
        </w:rPr>
        <w:t xml:space="preserve">CA </w:t>
      </w:r>
      <w:r w:rsidRPr="00641F49">
        <w:rPr>
          <w:rFonts w:cs="Times New Roman"/>
          <w:sz w:val="18"/>
          <w:szCs w:val="21"/>
        </w:rPr>
        <w:t>at p. 253</w:t>
      </w:r>
    </w:p>
  </w:footnote>
  <w:footnote w:id="123">
    <w:p w:rsidR="00BE0CB8" w:rsidRPr="00C41925" w:rsidRDefault="00BE0CB8" w:rsidP="00561C85">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[2008] 1 A.C. 920 at §17</w:t>
      </w:r>
    </w:p>
  </w:footnote>
  <w:footnote w:id="124">
    <w:p w:rsidR="00BE0CB8" w:rsidRPr="00C41925" w:rsidRDefault="00BE0CB8" w:rsidP="000E18BA">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szCs w:val="18"/>
        </w:rPr>
        <w:t>(1985) 81 Cr App R 279.</w:t>
      </w:r>
      <w:proofErr w:type="gramEnd"/>
    </w:p>
  </w:footnote>
  <w:footnote w:id="125">
    <w:p w:rsidR="00BE0CB8" w:rsidRPr="00C41925" w:rsidRDefault="00BE0CB8" w:rsidP="000E18BA">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r w:rsidRPr="00C41925">
        <w:rPr>
          <w:rFonts w:asciiTheme="minorHAnsi" w:hAnsiTheme="minorHAnsi"/>
          <w:i/>
          <w:szCs w:val="18"/>
        </w:rPr>
        <w:t>Criminal Law: Conspiracy to Defraud</w:t>
      </w:r>
      <w:r w:rsidRPr="00C41925">
        <w:rPr>
          <w:rFonts w:asciiTheme="minorHAnsi" w:hAnsiTheme="minorHAnsi"/>
          <w:szCs w:val="18"/>
        </w:rPr>
        <w:t xml:space="preserve">: Working Paper No 104, para 4.4 </w:t>
      </w:r>
      <w:r w:rsidRPr="00C41925">
        <w:rPr>
          <w:rFonts w:asciiTheme="minorHAnsi" w:hAnsiTheme="minorHAnsi"/>
          <w:i/>
          <w:szCs w:val="18"/>
        </w:rPr>
        <w:t>et seq.</w:t>
      </w:r>
    </w:p>
  </w:footnote>
  <w:footnote w:id="126">
    <w:p w:rsidR="00BE0CB8" w:rsidRPr="00C41925" w:rsidRDefault="00BE0CB8" w:rsidP="000E18BA">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szCs w:val="18"/>
        </w:rPr>
        <w:t>Since repealed by the Fraud Act 2006.</w:t>
      </w:r>
      <w:proofErr w:type="gramEnd"/>
    </w:p>
  </w:footnote>
  <w:footnote w:id="127">
    <w:p w:rsidR="00BE0CB8" w:rsidRPr="00C41925" w:rsidRDefault="00BE0CB8" w:rsidP="000E18BA">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spellStart"/>
      <w:proofErr w:type="gramStart"/>
      <w:r w:rsidRPr="00C41925">
        <w:rPr>
          <w:rFonts w:asciiTheme="minorHAnsi" w:hAnsiTheme="minorHAnsi"/>
          <w:i/>
          <w:szCs w:val="18"/>
        </w:rPr>
        <w:t>Zemmel</w:t>
      </w:r>
      <w:proofErr w:type="spellEnd"/>
      <w:r w:rsidRPr="00C41925">
        <w:rPr>
          <w:rFonts w:asciiTheme="minorHAnsi" w:hAnsiTheme="minorHAnsi"/>
          <w:szCs w:val="18"/>
        </w:rPr>
        <w:t>, (1985) 81 Cr App R 279, at 284.</w:t>
      </w:r>
      <w:proofErr w:type="gramEnd"/>
    </w:p>
  </w:footnote>
  <w:footnote w:id="128">
    <w:p w:rsidR="00BE0CB8" w:rsidRDefault="00BE0CB8" w:rsidP="00101148">
      <w:pPr>
        <w:pStyle w:val="FootnoteText"/>
        <w:ind w:left="567" w:hanging="567"/>
      </w:pPr>
      <w:r>
        <w:rPr>
          <w:rStyle w:val="FootnoteReference"/>
        </w:rPr>
        <w:footnoteRef/>
      </w:r>
      <w:r>
        <w:t xml:space="preserve"> </w:t>
      </w:r>
      <w:r>
        <w:tab/>
      </w:r>
      <w:r w:rsidRPr="00101148">
        <w:rPr>
          <w:sz w:val="18"/>
        </w:rPr>
        <w:t xml:space="preserve">Kenyon CJ had of course taken the opposite approach in </w:t>
      </w:r>
      <w:r w:rsidRPr="00101148">
        <w:rPr>
          <w:i/>
          <w:sz w:val="18"/>
        </w:rPr>
        <w:t>Waddington</w:t>
      </w:r>
      <w:r>
        <w:rPr>
          <w:i/>
          <w:sz w:val="18"/>
        </w:rPr>
        <w:t xml:space="preserve"> </w:t>
      </w:r>
      <w:r w:rsidRPr="00C41925">
        <w:rPr>
          <w:sz w:val="18"/>
          <w:szCs w:val="18"/>
        </w:rPr>
        <w:t>(1801) 1 East 143; 102 ER 56</w:t>
      </w:r>
      <w:r>
        <w:rPr>
          <w:sz w:val="18"/>
          <w:szCs w:val="18"/>
        </w:rPr>
        <w:t xml:space="preserve"> (discussed </w:t>
      </w:r>
      <w:r w:rsidRPr="00101148">
        <w:rPr>
          <w:sz w:val="18"/>
          <w:szCs w:val="18"/>
        </w:rPr>
        <w:t>above</w:t>
      </w:r>
      <w:r w:rsidRPr="00101148">
        <w:rPr>
          <w:i/>
          <w:sz w:val="18"/>
          <w:szCs w:val="18"/>
        </w:rPr>
        <w:t>.</w:t>
      </w:r>
    </w:p>
  </w:footnote>
  <w:footnote w:id="129">
    <w:p w:rsidR="00BE0CB8" w:rsidRPr="00C41925" w:rsidRDefault="00BE0CB8" w:rsidP="000A52CC">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r w:rsidRPr="00101148">
        <w:rPr>
          <w:rFonts w:asciiTheme="minorHAnsi" w:hAnsiTheme="minorHAnsi"/>
          <w:i/>
          <w:szCs w:val="18"/>
        </w:rPr>
        <w:t>Fraud</w:t>
      </w:r>
      <w:r>
        <w:rPr>
          <w:rFonts w:asciiTheme="minorHAnsi" w:hAnsiTheme="minorHAnsi"/>
          <w:szCs w:val="18"/>
        </w:rPr>
        <w:t>:  (2002) Law Com No 276, Cm 5560 §2.7</w:t>
      </w:r>
    </w:p>
  </w:footnote>
  <w:footnote w:id="130">
    <w:p w:rsidR="000A52CC" w:rsidRDefault="000A52CC" w:rsidP="000A52CC">
      <w:pPr>
        <w:pStyle w:val="Footnote"/>
        <w:spacing w:before="0" w:after="0"/>
        <w:ind w:left="567" w:hanging="567"/>
      </w:pPr>
      <w:r w:rsidRPr="00437821">
        <w:rPr>
          <w:rStyle w:val="FootnoteReference"/>
          <w:rFonts w:eastAsia="Cambria"/>
        </w:rPr>
        <w:footnoteRef/>
      </w:r>
      <w:r>
        <w:t xml:space="preserve"> </w:t>
      </w:r>
      <w:r>
        <w:tab/>
      </w:r>
      <w:proofErr w:type="gramStart"/>
      <w:r>
        <w:t>(1982) 74 Cr App R 139.</w:t>
      </w:r>
      <w:proofErr w:type="gramEnd"/>
    </w:p>
  </w:footnote>
  <w:footnote w:id="131">
    <w:p w:rsidR="00CA7B38" w:rsidRDefault="00CA7B38" w:rsidP="00CA7B38">
      <w:pPr>
        <w:pStyle w:val="Footnote"/>
        <w:spacing w:before="0" w:after="0"/>
        <w:ind w:left="567" w:hanging="567"/>
      </w:pPr>
      <w:r w:rsidRPr="00437821">
        <w:rPr>
          <w:rStyle w:val="FootnoteReference"/>
          <w:rFonts w:eastAsia="Cambria"/>
        </w:rPr>
        <w:footnoteRef/>
      </w:r>
      <w:r>
        <w:t xml:space="preserve"> </w:t>
      </w:r>
      <w:r>
        <w:tab/>
      </w:r>
      <w:r w:rsidRPr="00140158">
        <w:rPr>
          <w:i/>
        </w:rPr>
        <w:t>Tsang Ping</w:t>
      </w:r>
      <w:r>
        <w:rPr>
          <w:i/>
        </w:rPr>
        <w:t>-</w:t>
      </w:r>
      <w:proofErr w:type="spellStart"/>
      <w:r w:rsidRPr="00140158">
        <w:rPr>
          <w:i/>
        </w:rPr>
        <w:t>nam</w:t>
      </w:r>
      <w:proofErr w:type="spellEnd"/>
      <w:r>
        <w:t xml:space="preserve"> was considered in </w:t>
      </w:r>
      <w:r w:rsidRPr="00140158">
        <w:rPr>
          <w:i/>
        </w:rPr>
        <w:t>R v Bellman</w:t>
      </w:r>
      <w:r>
        <w:t xml:space="preserve"> (</w:t>
      </w:r>
      <w:r w:rsidRPr="00CA7B38">
        <w:rPr>
          <w:rFonts w:ascii="Calibri" w:hAnsi="Calibri"/>
        </w:rPr>
        <w:t>1986</w:t>
      </w:r>
      <w:r>
        <w:t xml:space="preserve">) 86 Cr App R 40.where the court noted that Lord Roskill had referred ‘without apparent dissent to the submission by counsel for the appellant.’ </w:t>
      </w:r>
    </w:p>
  </w:footnote>
  <w:footnote w:id="132">
    <w:p w:rsidR="00BE0CB8" w:rsidRPr="00C41925" w:rsidRDefault="00BE0CB8" w:rsidP="000E18BA">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sz w:val="18"/>
          <w:szCs w:val="18"/>
          <w:lang w:val="en-US"/>
        </w:rPr>
        <w:t>[2013] EWHC 475 (QB) Coulson J</w:t>
      </w:r>
    </w:p>
  </w:footnote>
  <w:footnote w:id="133">
    <w:p w:rsidR="00BE0CB8" w:rsidRPr="00C41925" w:rsidRDefault="00BE0CB8" w:rsidP="000E18BA">
      <w:pPr>
        <w:pStyle w:val="Footnote"/>
        <w:spacing w:before="0" w:after="0"/>
        <w:ind w:left="567" w:hanging="567"/>
        <w:rPr>
          <w:rStyle w:val="FootnoteReference"/>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i/>
          <w:szCs w:val="18"/>
        </w:rPr>
        <w:t>Criminal Law Act</w:t>
      </w:r>
      <w:r w:rsidRPr="00C41925">
        <w:rPr>
          <w:rFonts w:asciiTheme="minorHAnsi" w:hAnsiTheme="minorHAnsi"/>
          <w:szCs w:val="18"/>
        </w:rPr>
        <w:t xml:space="preserve"> 1977, s 4(1) and (4).</w:t>
      </w:r>
      <w:proofErr w:type="gramEnd"/>
    </w:p>
  </w:footnote>
  <w:footnote w:id="134">
    <w:p w:rsidR="00BE0CB8" w:rsidRPr="00C41925" w:rsidRDefault="00BE0CB8" w:rsidP="009224BC">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Similar reasoning was used in </w:t>
      </w:r>
      <w:r w:rsidRPr="00C41925">
        <w:rPr>
          <w:i/>
          <w:sz w:val="18"/>
          <w:szCs w:val="18"/>
        </w:rPr>
        <w:t>Tsang Ping-</w:t>
      </w:r>
      <w:proofErr w:type="spellStart"/>
      <w:r w:rsidRPr="00C41925">
        <w:rPr>
          <w:i/>
          <w:sz w:val="18"/>
          <w:szCs w:val="18"/>
        </w:rPr>
        <w:t>nam</w:t>
      </w:r>
      <w:proofErr w:type="spellEnd"/>
      <w:r w:rsidRPr="00C41925">
        <w:rPr>
          <w:i/>
          <w:sz w:val="18"/>
          <w:szCs w:val="18"/>
        </w:rPr>
        <w:t xml:space="preserve"> v The Queen</w:t>
      </w:r>
      <w:r w:rsidRPr="00C41925">
        <w:rPr>
          <w:sz w:val="18"/>
          <w:szCs w:val="18"/>
        </w:rPr>
        <w:t xml:space="preserve">, (1982) 74 Cr App R 139 where the Privy Council deprecated the use of the common law offence of perverting the course of justice which circumvented statutory safeguards introduced by Parliament. The safeguard in question was contained in s43 of the </w:t>
      </w:r>
      <w:r w:rsidRPr="00C41925">
        <w:rPr>
          <w:i/>
          <w:sz w:val="18"/>
          <w:szCs w:val="18"/>
        </w:rPr>
        <w:t>Crimes Ordinance of Hong Kong</w:t>
      </w:r>
      <w:r w:rsidRPr="00C41925">
        <w:rPr>
          <w:sz w:val="18"/>
          <w:szCs w:val="18"/>
        </w:rPr>
        <w:t xml:space="preserve"> which equated to s 13 of the </w:t>
      </w:r>
      <w:r w:rsidRPr="00C41925">
        <w:rPr>
          <w:i/>
          <w:sz w:val="18"/>
          <w:szCs w:val="18"/>
        </w:rPr>
        <w:t>Perjury Act</w:t>
      </w:r>
      <w:r w:rsidRPr="00C41925">
        <w:rPr>
          <w:sz w:val="18"/>
          <w:szCs w:val="18"/>
        </w:rPr>
        <w:t xml:space="preserve"> 1913.</w:t>
      </w:r>
    </w:p>
  </w:footnote>
  <w:footnote w:id="135">
    <w:p w:rsidR="00BE0CB8" w:rsidRPr="00C41925" w:rsidRDefault="00BE0CB8" w:rsidP="00321BE0">
      <w:pPr>
        <w:pStyle w:val="FootnoteText"/>
        <w:ind w:left="567" w:hanging="567"/>
        <w:rPr>
          <w:i/>
          <w:sz w:val="18"/>
          <w:szCs w:val="18"/>
        </w:rPr>
      </w:pPr>
      <w:r w:rsidRPr="00C41925">
        <w:rPr>
          <w:rStyle w:val="FootnoteReference"/>
          <w:sz w:val="18"/>
          <w:szCs w:val="18"/>
        </w:rPr>
        <w:footnoteRef/>
      </w:r>
      <w:r w:rsidRPr="00C41925">
        <w:rPr>
          <w:rStyle w:val="FootnoteReference"/>
          <w:sz w:val="18"/>
          <w:szCs w:val="18"/>
        </w:rPr>
        <w:t xml:space="preserve"> </w:t>
      </w:r>
      <w:r w:rsidRPr="00C41925">
        <w:rPr>
          <w:sz w:val="18"/>
          <w:szCs w:val="18"/>
        </w:rPr>
        <w:tab/>
      </w:r>
      <w:proofErr w:type="gramStart"/>
      <w:r w:rsidRPr="00C41925">
        <w:rPr>
          <w:i/>
          <w:sz w:val="18"/>
          <w:szCs w:val="18"/>
        </w:rPr>
        <w:t xml:space="preserve">R v </w:t>
      </w:r>
      <w:proofErr w:type="spellStart"/>
      <w:r w:rsidRPr="00C41925">
        <w:rPr>
          <w:i/>
          <w:sz w:val="18"/>
          <w:szCs w:val="18"/>
        </w:rPr>
        <w:t>Rimmington</w:t>
      </w:r>
      <w:proofErr w:type="spellEnd"/>
      <w:r w:rsidRPr="00C41925">
        <w:rPr>
          <w:sz w:val="18"/>
          <w:szCs w:val="18"/>
        </w:rPr>
        <w:t xml:space="preserve"> [2006] 1 AC 459, para 30, per Lord Bingham.</w:t>
      </w:r>
      <w:proofErr w:type="gramEnd"/>
    </w:p>
  </w:footnote>
  <w:footnote w:id="136">
    <w:p w:rsidR="00BE0CB8" w:rsidRPr="00C41925" w:rsidRDefault="00BE0CB8" w:rsidP="009224BC">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szCs w:val="18"/>
        </w:rPr>
        <w:t>[2008] 1 AC 920.</w:t>
      </w:r>
      <w:proofErr w:type="gramEnd"/>
    </w:p>
  </w:footnote>
  <w:footnote w:id="137">
    <w:p w:rsidR="00BE0CB8" w:rsidRPr="00C41925" w:rsidRDefault="00BE0CB8" w:rsidP="009224BC">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i/>
          <w:szCs w:val="18"/>
        </w:rPr>
        <w:tab/>
      </w:r>
      <w:proofErr w:type="gramStart"/>
      <w:r w:rsidRPr="00C41925">
        <w:rPr>
          <w:rFonts w:asciiTheme="minorHAnsi" w:hAnsiTheme="minorHAnsi"/>
          <w:i/>
          <w:szCs w:val="18"/>
        </w:rPr>
        <w:t xml:space="preserve">Goldshield Group Plc </w:t>
      </w:r>
      <w:r w:rsidRPr="00C41925">
        <w:rPr>
          <w:rFonts w:asciiTheme="minorHAnsi" w:hAnsiTheme="minorHAnsi"/>
          <w:szCs w:val="18"/>
        </w:rPr>
        <w:t xml:space="preserve">[2009] 1 </w:t>
      </w:r>
      <w:proofErr w:type="spellStart"/>
      <w:r w:rsidRPr="00C41925">
        <w:rPr>
          <w:rFonts w:asciiTheme="minorHAnsi" w:hAnsiTheme="minorHAnsi"/>
          <w:szCs w:val="18"/>
        </w:rPr>
        <w:t>Cr.App.R</w:t>
      </w:r>
      <w:proofErr w:type="spellEnd"/>
      <w:r w:rsidRPr="00C41925">
        <w:rPr>
          <w:rFonts w:asciiTheme="minorHAnsi" w:hAnsiTheme="minorHAnsi"/>
          <w:szCs w:val="18"/>
        </w:rPr>
        <w:t>.</w:t>
      </w:r>
      <w:proofErr w:type="gramEnd"/>
      <w:r w:rsidRPr="00C41925">
        <w:rPr>
          <w:rFonts w:asciiTheme="minorHAnsi" w:hAnsiTheme="minorHAnsi"/>
          <w:szCs w:val="18"/>
        </w:rPr>
        <w:t xml:space="preserve"> 33 HL.</w:t>
      </w:r>
    </w:p>
  </w:footnote>
  <w:footnote w:id="138">
    <w:p w:rsidR="00BE0CB8" w:rsidRPr="00C41925" w:rsidRDefault="00BE0CB8" w:rsidP="00101148">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szCs w:val="18"/>
        </w:rPr>
        <w:tab/>
      </w:r>
      <w:proofErr w:type="gramStart"/>
      <w:r w:rsidRPr="00C41925">
        <w:rPr>
          <w:rFonts w:asciiTheme="minorHAnsi" w:hAnsiTheme="minorHAnsi"/>
          <w:i/>
          <w:szCs w:val="18"/>
        </w:rPr>
        <w:t>Norris v Government of the USA</w:t>
      </w:r>
      <w:r w:rsidRPr="00C41925">
        <w:rPr>
          <w:rFonts w:asciiTheme="minorHAnsi" w:hAnsiTheme="minorHAnsi"/>
          <w:szCs w:val="18"/>
        </w:rPr>
        <w:t xml:space="preserve"> [2008] 1 AC 920, para 17.</w:t>
      </w:r>
      <w:proofErr w:type="gramEnd"/>
    </w:p>
  </w:footnote>
  <w:footnote w:id="139">
    <w:p w:rsidR="00BE0CB8" w:rsidRPr="00C41925" w:rsidRDefault="00BE0CB8" w:rsidP="00101148">
      <w:pPr>
        <w:pStyle w:val="Footnote"/>
        <w:spacing w:before="0" w:after="0"/>
        <w:ind w:left="567" w:hanging="567"/>
        <w:rPr>
          <w:rFonts w:asciiTheme="minorHAnsi" w:hAnsiTheme="minorHAnsi"/>
          <w:szCs w:val="18"/>
        </w:rPr>
      </w:pPr>
      <w:r w:rsidRPr="00C41925">
        <w:rPr>
          <w:rStyle w:val="FootnoteReference"/>
          <w:rFonts w:asciiTheme="minorHAnsi" w:hAnsiTheme="minorHAnsi"/>
          <w:szCs w:val="18"/>
        </w:rPr>
        <w:footnoteRef/>
      </w:r>
      <w:r w:rsidRPr="00C41925">
        <w:rPr>
          <w:rFonts w:asciiTheme="minorHAnsi" w:hAnsiTheme="minorHAnsi"/>
          <w:szCs w:val="18"/>
        </w:rPr>
        <w:t xml:space="preserve"> </w:t>
      </w:r>
      <w:r w:rsidRPr="00C41925">
        <w:rPr>
          <w:rFonts w:asciiTheme="minorHAnsi" w:hAnsiTheme="minorHAnsi"/>
          <w:i/>
          <w:szCs w:val="18"/>
        </w:rPr>
        <w:tab/>
      </w:r>
      <w:proofErr w:type="spellStart"/>
      <w:proofErr w:type="gramStart"/>
      <w:r w:rsidRPr="00C41925">
        <w:rPr>
          <w:rFonts w:asciiTheme="minorHAnsi" w:hAnsiTheme="minorHAnsi"/>
          <w:i/>
          <w:szCs w:val="18"/>
        </w:rPr>
        <w:t>Rimmington</w:t>
      </w:r>
      <w:proofErr w:type="spellEnd"/>
      <w:r w:rsidRPr="00C41925">
        <w:rPr>
          <w:rFonts w:asciiTheme="minorHAnsi" w:hAnsiTheme="minorHAnsi"/>
          <w:szCs w:val="18"/>
        </w:rPr>
        <w:t xml:space="preserve"> [2006] 1 AC 459, para 33, cited in </w:t>
      </w:r>
      <w:r w:rsidRPr="00C41925">
        <w:rPr>
          <w:rFonts w:asciiTheme="minorHAnsi" w:hAnsiTheme="minorHAnsi"/>
          <w:i/>
          <w:szCs w:val="18"/>
        </w:rPr>
        <w:t>Norris</w:t>
      </w:r>
      <w:r w:rsidRPr="00C41925">
        <w:rPr>
          <w:rFonts w:asciiTheme="minorHAnsi" w:hAnsiTheme="minorHAnsi"/>
          <w:szCs w:val="18"/>
        </w:rPr>
        <w:t xml:space="preserve"> [2008] 1 AC 920, at para 52 </w:t>
      </w:r>
      <w:r w:rsidRPr="00C41925">
        <w:rPr>
          <w:rFonts w:asciiTheme="minorHAnsi" w:hAnsiTheme="minorHAnsi"/>
          <w:i/>
          <w:szCs w:val="18"/>
        </w:rPr>
        <w:t>et seq.</w:t>
      </w:r>
      <w:proofErr w:type="gramEnd"/>
    </w:p>
  </w:footnote>
  <w:footnote w:id="140">
    <w:p w:rsidR="00BE0CB8" w:rsidRPr="00C41925" w:rsidRDefault="00BE0CB8" w:rsidP="00101148">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sz w:val="18"/>
          <w:szCs w:val="18"/>
        </w:rPr>
        <w:t>[1892] A.C. 25.</w:t>
      </w:r>
      <w:proofErr w:type="gramEnd"/>
      <w:r w:rsidRPr="00C41925">
        <w:rPr>
          <w:sz w:val="18"/>
          <w:szCs w:val="18"/>
        </w:rPr>
        <w:t xml:space="preserve"> </w:t>
      </w:r>
    </w:p>
  </w:footnote>
  <w:footnote w:id="141">
    <w:p w:rsidR="00BE0CB8" w:rsidRPr="00C41925" w:rsidRDefault="00BE0CB8" w:rsidP="00101148">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Clerk and </w:t>
      </w:r>
      <w:proofErr w:type="spellStart"/>
      <w:r w:rsidRPr="00C41925">
        <w:rPr>
          <w:sz w:val="18"/>
          <w:szCs w:val="18"/>
        </w:rPr>
        <w:t>Lindsell</w:t>
      </w:r>
      <w:proofErr w:type="spellEnd"/>
      <w:r w:rsidRPr="00C41925">
        <w:rPr>
          <w:sz w:val="18"/>
          <w:szCs w:val="18"/>
        </w:rPr>
        <w:t xml:space="preserve"> on </w:t>
      </w:r>
      <w:r w:rsidRPr="00C41925">
        <w:rPr>
          <w:i/>
          <w:iCs/>
          <w:sz w:val="18"/>
          <w:szCs w:val="18"/>
        </w:rPr>
        <w:t xml:space="preserve">Torts </w:t>
      </w:r>
      <w:r w:rsidRPr="00C41925">
        <w:rPr>
          <w:sz w:val="18"/>
          <w:szCs w:val="18"/>
        </w:rPr>
        <w:t xml:space="preserve">(18th ed.) pages 24-131 </w:t>
      </w:r>
      <w:proofErr w:type="gramStart"/>
      <w:r w:rsidRPr="00C41925">
        <w:rPr>
          <w:i/>
          <w:sz w:val="18"/>
          <w:szCs w:val="18"/>
        </w:rPr>
        <w:t>et</w:t>
      </w:r>
      <w:proofErr w:type="gramEnd"/>
      <w:r w:rsidRPr="00C41925">
        <w:rPr>
          <w:i/>
          <w:sz w:val="18"/>
          <w:szCs w:val="18"/>
        </w:rPr>
        <w:t>. seq</w:t>
      </w:r>
      <w:r w:rsidRPr="00C41925">
        <w:rPr>
          <w:sz w:val="18"/>
          <w:szCs w:val="18"/>
        </w:rPr>
        <w:t>.</w:t>
      </w:r>
    </w:p>
  </w:footnote>
  <w:footnote w:id="142">
    <w:p w:rsidR="00BE0CB8" w:rsidRPr="00C41925" w:rsidRDefault="00BE0CB8" w:rsidP="00101148">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iCs/>
          <w:sz w:val="18"/>
          <w:szCs w:val="18"/>
        </w:rPr>
        <w:t>Allen v Flood</w:t>
      </w:r>
      <w:r w:rsidRPr="00C41925">
        <w:rPr>
          <w:sz w:val="18"/>
          <w:szCs w:val="18"/>
        </w:rPr>
        <w:t xml:space="preserve">, [1898] A.C. 1; </w:t>
      </w:r>
      <w:r w:rsidRPr="00C41925">
        <w:rPr>
          <w:i/>
          <w:iCs/>
          <w:sz w:val="18"/>
          <w:szCs w:val="18"/>
        </w:rPr>
        <w:t xml:space="preserve">Quinn v </w:t>
      </w:r>
      <w:proofErr w:type="spellStart"/>
      <w:r w:rsidRPr="00C41925">
        <w:rPr>
          <w:i/>
          <w:iCs/>
          <w:sz w:val="18"/>
          <w:szCs w:val="18"/>
        </w:rPr>
        <w:t>Leathem</w:t>
      </w:r>
      <w:proofErr w:type="spellEnd"/>
      <w:r w:rsidRPr="00C41925">
        <w:rPr>
          <w:sz w:val="18"/>
          <w:szCs w:val="18"/>
        </w:rPr>
        <w:t xml:space="preserve">, [1901] A.C. 495; </w:t>
      </w:r>
      <w:r w:rsidRPr="00C41925">
        <w:rPr>
          <w:i/>
          <w:iCs/>
          <w:sz w:val="18"/>
          <w:szCs w:val="18"/>
        </w:rPr>
        <w:t xml:space="preserve">Ware and De Freville Ltd v Motor Trade Association </w:t>
      </w:r>
      <w:r w:rsidRPr="00C41925">
        <w:rPr>
          <w:sz w:val="18"/>
          <w:szCs w:val="18"/>
        </w:rPr>
        <w:t xml:space="preserve">[1921] 3 K.B. </w:t>
      </w:r>
      <w:proofErr w:type="gramStart"/>
      <w:r w:rsidRPr="00C41925">
        <w:rPr>
          <w:sz w:val="18"/>
          <w:szCs w:val="18"/>
        </w:rPr>
        <w:t xml:space="preserve">40 </w:t>
      </w:r>
      <w:r w:rsidRPr="00C41925">
        <w:rPr>
          <w:b/>
          <w:bCs/>
          <w:sz w:val="18"/>
          <w:szCs w:val="18"/>
        </w:rPr>
        <w:t xml:space="preserve"> </w:t>
      </w:r>
      <w:r w:rsidRPr="00C41925">
        <w:rPr>
          <w:sz w:val="18"/>
          <w:szCs w:val="18"/>
        </w:rPr>
        <w:t>and</w:t>
      </w:r>
      <w:proofErr w:type="gramEnd"/>
      <w:r w:rsidRPr="00C41925">
        <w:rPr>
          <w:sz w:val="18"/>
          <w:szCs w:val="18"/>
        </w:rPr>
        <w:t xml:space="preserve"> </w:t>
      </w:r>
      <w:r w:rsidRPr="00C41925">
        <w:rPr>
          <w:i/>
          <w:iCs/>
          <w:sz w:val="18"/>
          <w:szCs w:val="18"/>
        </w:rPr>
        <w:t xml:space="preserve">Sorrel v Smith </w:t>
      </w:r>
      <w:r w:rsidRPr="00C41925">
        <w:rPr>
          <w:sz w:val="18"/>
          <w:szCs w:val="18"/>
        </w:rPr>
        <w:t xml:space="preserve">[1925] A.C. 700; </w:t>
      </w:r>
      <w:r w:rsidRPr="00C41925">
        <w:rPr>
          <w:i/>
          <w:iCs/>
          <w:sz w:val="18"/>
          <w:szCs w:val="18"/>
        </w:rPr>
        <w:t>Crofter Hand Woven Harris Tweed Co. Ltd v Veitch and Others</w:t>
      </w:r>
      <w:r w:rsidRPr="00C41925">
        <w:rPr>
          <w:sz w:val="18"/>
          <w:szCs w:val="18"/>
        </w:rPr>
        <w:t xml:space="preserve"> [1942] A.C. 435 HL.</w:t>
      </w:r>
    </w:p>
  </w:footnote>
  <w:footnote w:id="143">
    <w:p w:rsidR="00BE0CB8" w:rsidRPr="00C41925" w:rsidRDefault="00BE0CB8" w:rsidP="009224BC">
      <w:pPr>
        <w:pStyle w:val="FootnoteText"/>
        <w:spacing w:after="60"/>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t xml:space="preserve">Hansard: HC 13 July 1955, col 1941; HL 26 June 1956 col 16: "… the odour of criminality should not attach to proceedings under this legislation." This originated with the President of the Board of Trade in the Parliamentary debates concerning the Report's recommendations to criminalise collective resale price agreements.  The phrase appears to have been adopted by Lord Wilberforce in Wilberforce, Campbell and </w:t>
      </w:r>
      <w:proofErr w:type="spellStart"/>
      <w:r w:rsidRPr="00C41925">
        <w:rPr>
          <w:sz w:val="18"/>
          <w:szCs w:val="18"/>
        </w:rPr>
        <w:t>Elles</w:t>
      </w:r>
      <w:proofErr w:type="spellEnd"/>
      <w:r w:rsidRPr="00C41925">
        <w:rPr>
          <w:sz w:val="18"/>
          <w:szCs w:val="18"/>
        </w:rPr>
        <w:t xml:space="preserve">, </w:t>
      </w:r>
      <w:r w:rsidRPr="00C41925">
        <w:rPr>
          <w:i/>
          <w:sz w:val="18"/>
          <w:szCs w:val="18"/>
        </w:rPr>
        <w:t>Restrictive Trade Practices and Monopolies</w:t>
      </w:r>
      <w:r w:rsidRPr="00C41925">
        <w:rPr>
          <w:sz w:val="18"/>
          <w:szCs w:val="18"/>
        </w:rPr>
        <w:t>, (2</w:t>
      </w:r>
      <w:r w:rsidRPr="00C41925">
        <w:rPr>
          <w:sz w:val="18"/>
          <w:szCs w:val="18"/>
          <w:vertAlign w:val="superscript"/>
        </w:rPr>
        <w:t>nd</w:t>
      </w:r>
      <w:r w:rsidRPr="00C41925">
        <w:rPr>
          <w:sz w:val="18"/>
          <w:szCs w:val="18"/>
        </w:rPr>
        <w:t xml:space="preserve"> ed., 1966), at pp. 148-149.</w:t>
      </w:r>
    </w:p>
  </w:footnote>
  <w:footnote w:id="144">
    <w:p w:rsidR="00BE0CB8" w:rsidRPr="00C41925" w:rsidRDefault="00BE0CB8" w:rsidP="00E8673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color w:val="000000"/>
          <w:sz w:val="18"/>
          <w:szCs w:val="18"/>
          <w:shd w:val="clear" w:color="auto" w:fill="FFFFFF"/>
        </w:rPr>
        <w:t>[</w:t>
      </w:r>
      <w:r w:rsidRPr="00C41925">
        <w:rPr>
          <w:rFonts w:cs="Times New Roman"/>
          <w:bCs/>
          <w:sz w:val="18"/>
          <w:szCs w:val="18"/>
          <w:lang w:eastAsia="en-GB"/>
        </w:rPr>
        <w:t>2014] 1 W.L.R. 2817</w:t>
      </w:r>
    </w:p>
  </w:footnote>
  <w:footnote w:id="145">
    <w:p w:rsidR="00BE0CB8" w:rsidRPr="00C41925" w:rsidRDefault="00BE0CB8" w:rsidP="008A4412">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i/>
          <w:sz w:val="18"/>
          <w:szCs w:val="18"/>
        </w:rPr>
        <w:t>SFO v.</w:t>
      </w:r>
      <w:r w:rsidRPr="00C41925">
        <w:rPr>
          <w:sz w:val="18"/>
          <w:szCs w:val="18"/>
        </w:rPr>
        <w:t xml:space="preserve"> </w:t>
      </w:r>
      <w:r w:rsidRPr="00C41925">
        <w:rPr>
          <w:i/>
          <w:sz w:val="18"/>
          <w:szCs w:val="18"/>
        </w:rPr>
        <w:t xml:space="preserve">Evans </w:t>
      </w:r>
      <w:r w:rsidRPr="00C41925">
        <w:rPr>
          <w:sz w:val="18"/>
          <w:szCs w:val="18"/>
        </w:rPr>
        <w:t>[201] EWHC 3803 (QB).</w:t>
      </w:r>
      <w:proofErr w:type="gramEnd"/>
    </w:p>
  </w:footnote>
  <w:footnote w:id="146">
    <w:p w:rsidR="00BE0CB8" w:rsidRPr="00C41925" w:rsidRDefault="00BE0CB8" w:rsidP="008A4412">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Hayes</w:t>
      </w:r>
      <w:r w:rsidRPr="00C41925">
        <w:rPr>
          <w:sz w:val="18"/>
          <w:szCs w:val="18"/>
        </w:rPr>
        <w:t xml:space="preserve"> [2015] EWCA Crim 46 §46</w:t>
      </w:r>
    </w:p>
  </w:footnote>
  <w:footnote w:id="147">
    <w:p w:rsidR="00BE0CB8" w:rsidRPr="00C41925" w:rsidRDefault="00BE0CB8" w:rsidP="00E8673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iCs/>
          <w:sz w:val="18"/>
          <w:szCs w:val="18"/>
        </w:rPr>
        <w:t xml:space="preserve">Hilton v Eckersley </w:t>
      </w:r>
      <w:r w:rsidRPr="00C41925">
        <w:rPr>
          <w:sz w:val="18"/>
          <w:szCs w:val="18"/>
        </w:rPr>
        <w:t xml:space="preserve">6 E&amp;B 74 at 75 per Baron Alderson, approved by Lord Halsbury in </w:t>
      </w:r>
      <w:r w:rsidRPr="00C41925">
        <w:rPr>
          <w:i/>
          <w:iCs/>
          <w:sz w:val="18"/>
          <w:szCs w:val="18"/>
        </w:rPr>
        <w:t>Mogul Steamship Co. Ltd v McGregor and Others</w:t>
      </w:r>
      <w:r w:rsidRPr="00C41925">
        <w:rPr>
          <w:sz w:val="18"/>
          <w:szCs w:val="18"/>
        </w:rPr>
        <w:t>, [1892] A.C. 25 at 36.</w:t>
      </w:r>
    </w:p>
  </w:footnote>
  <w:footnote w:id="148">
    <w:p w:rsidR="00BE0CB8" w:rsidRPr="00C41925" w:rsidRDefault="00BE0CB8" w:rsidP="00E8673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R v Druitt</w:t>
      </w:r>
      <w:r w:rsidRPr="00C41925">
        <w:rPr>
          <w:sz w:val="18"/>
          <w:szCs w:val="18"/>
        </w:rPr>
        <w:t xml:space="preserve"> (1867) 10 Cox CC 592 at 600 per </w:t>
      </w:r>
      <w:proofErr w:type="spellStart"/>
      <w:r w:rsidRPr="00C41925">
        <w:rPr>
          <w:sz w:val="18"/>
          <w:szCs w:val="18"/>
        </w:rPr>
        <w:t>Bramwell</w:t>
      </w:r>
      <w:proofErr w:type="spellEnd"/>
      <w:r w:rsidRPr="00C41925">
        <w:rPr>
          <w:sz w:val="18"/>
          <w:szCs w:val="18"/>
        </w:rPr>
        <w:t xml:space="preserve"> B, cited by Lord Halsbury in </w:t>
      </w:r>
      <w:r w:rsidRPr="00C41925">
        <w:rPr>
          <w:i/>
          <w:sz w:val="18"/>
          <w:szCs w:val="18"/>
        </w:rPr>
        <w:t>Mogul, op cit.</w:t>
      </w:r>
    </w:p>
  </w:footnote>
  <w:footnote w:id="149">
    <w:p w:rsidR="00BE0CB8" w:rsidRPr="00C41925" w:rsidRDefault="00BE0CB8" w:rsidP="00E86739">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proofErr w:type="gramStart"/>
      <w:r w:rsidRPr="00C41925">
        <w:rPr>
          <w:i/>
          <w:sz w:val="18"/>
          <w:szCs w:val="18"/>
        </w:rPr>
        <w:t>Mogul, op cit</w:t>
      </w:r>
      <w:r w:rsidRPr="00C41925">
        <w:rPr>
          <w:sz w:val="18"/>
          <w:szCs w:val="18"/>
        </w:rPr>
        <w:t xml:space="preserve">. </w:t>
      </w:r>
      <w:r w:rsidRPr="00C41925">
        <w:rPr>
          <w:i/>
          <w:sz w:val="18"/>
          <w:szCs w:val="18"/>
        </w:rPr>
        <w:t>per</w:t>
      </w:r>
      <w:r w:rsidRPr="00C41925">
        <w:rPr>
          <w:sz w:val="18"/>
          <w:szCs w:val="18"/>
        </w:rPr>
        <w:t xml:space="preserve"> Lord Halsbury at 38.</w:t>
      </w:r>
      <w:proofErr w:type="gramEnd"/>
    </w:p>
  </w:footnote>
  <w:footnote w:id="150">
    <w:p w:rsidR="00BE0CB8" w:rsidRPr="00C41925" w:rsidRDefault="00BE0CB8" w:rsidP="00BE3AFA">
      <w:pPr>
        <w:pStyle w:val="FootnoteText"/>
        <w:ind w:left="567" w:hanging="567"/>
        <w:rPr>
          <w:rFonts w:cs="Times New Roman"/>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Norris v US</w:t>
      </w:r>
      <w:r w:rsidRPr="00C41925">
        <w:rPr>
          <w:sz w:val="18"/>
          <w:szCs w:val="18"/>
        </w:rPr>
        <w:t xml:space="preserve"> [2008] 1 A.C. 920 at §17 per Lord Bingham: cited above.</w:t>
      </w:r>
    </w:p>
  </w:footnote>
  <w:footnote w:id="151">
    <w:p w:rsidR="00BE0CB8" w:rsidRPr="00C41925" w:rsidRDefault="00BE0CB8" w:rsidP="00BE3AFA">
      <w:pPr>
        <w:pStyle w:val="FootnoteText"/>
        <w:ind w:left="567" w:hanging="567"/>
        <w:rPr>
          <w:sz w:val="18"/>
          <w:szCs w:val="18"/>
        </w:rPr>
      </w:pPr>
      <w:r w:rsidRPr="00C41925">
        <w:rPr>
          <w:rStyle w:val="FootnoteReference"/>
          <w:sz w:val="18"/>
          <w:szCs w:val="18"/>
        </w:rPr>
        <w:footnoteRef/>
      </w:r>
      <w:r w:rsidRPr="00C41925">
        <w:rPr>
          <w:sz w:val="18"/>
          <w:szCs w:val="18"/>
        </w:rPr>
        <w:t xml:space="preserve"> </w:t>
      </w:r>
      <w:r w:rsidRPr="00C41925">
        <w:rPr>
          <w:sz w:val="18"/>
          <w:szCs w:val="18"/>
        </w:rPr>
        <w:tab/>
      </w:r>
      <w:r w:rsidRPr="00C41925">
        <w:rPr>
          <w:i/>
          <w:sz w:val="18"/>
          <w:szCs w:val="18"/>
        </w:rPr>
        <w:t xml:space="preserve">Evans </w:t>
      </w:r>
      <w:r w:rsidRPr="00C41925">
        <w:rPr>
          <w:color w:val="000000"/>
          <w:sz w:val="18"/>
          <w:szCs w:val="18"/>
          <w:shd w:val="clear" w:color="auto" w:fill="FFFFFF"/>
        </w:rPr>
        <w:t>[</w:t>
      </w:r>
      <w:r w:rsidRPr="00C41925">
        <w:rPr>
          <w:rFonts w:cs="Times New Roman"/>
          <w:bCs/>
          <w:sz w:val="18"/>
          <w:szCs w:val="18"/>
          <w:lang w:eastAsia="en-GB"/>
        </w:rPr>
        <w:t>2014] 1 W.L.R. 2817</w:t>
      </w:r>
    </w:p>
  </w:footnote>
  <w:footnote w:id="152">
    <w:p w:rsidR="00BE0CB8" w:rsidRPr="00357B28" w:rsidRDefault="00BE0CB8" w:rsidP="00F85CE8">
      <w:pPr>
        <w:autoSpaceDE w:val="0"/>
        <w:autoSpaceDN w:val="0"/>
        <w:adjustRightInd w:val="0"/>
        <w:spacing w:after="0" w:line="240" w:lineRule="auto"/>
        <w:ind w:left="567" w:hanging="567"/>
        <w:rPr>
          <w:rFonts w:ascii="Calibri" w:hAnsi="Calibri" w:cs="Times New Roman"/>
          <w:sz w:val="18"/>
          <w:szCs w:val="24"/>
        </w:rPr>
      </w:pPr>
      <w:r>
        <w:rPr>
          <w:rStyle w:val="FootnoteReference"/>
        </w:rPr>
        <w:footnoteRef/>
      </w:r>
      <w:r>
        <w:t xml:space="preserve"> </w:t>
      </w:r>
      <w:r>
        <w:tab/>
      </w:r>
      <w:r w:rsidRPr="00C41925">
        <w:rPr>
          <w:i/>
          <w:sz w:val="18"/>
          <w:szCs w:val="18"/>
        </w:rPr>
        <w:t>Norris v US</w:t>
      </w:r>
      <w:r w:rsidRPr="00C41925">
        <w:rPr>
          <w:sz w:val="18"/>
          <w:szCs w:val="18"/>
        </w:rPr>
        <w:t xml:space="preserve"> [2008] 1 A</w:t>
      </w:r>
      <w:r>
        <w:rPr>
          <w:sz w:val="18"/>
          <w:szCs w:val="18"/>
        </w:rPr>
        <w:t xml:space="preserve">.C. 920 at §52-57 on the issue of legal certainty and Parliamentary supremacy and </w:t>
      </w:r>
      <w:proofErr w:type="spellStart"/>
      <w:r w:rsidRPr="00357B28">
        <w:rPr>
          <w:rFonts w:ascii="Calibri" w:hAnsi="Calibri" w:cs="Times New Roman"/>
          <w:i/>
          <w:iCs/>
          <w:sz w:val="18"/>
          <w:szCs w:val="24"/>
        </w:rPr>
        <w:t>Hashman</w:t>
      </w:r>
      <w:proofErr w:type="spellEnd"/>
      <w:r w:rsidRPr="00357B28">
        <w:rPr>
          <w:rFonts w:ascii="Calibri" w:hAnsi="Calibri" w:cs="Times New Roman"/>
          <w:i/>
          <w:iCs/>
          <w:sz w:val="18"/>
          <w:szCs w:val="24"/>
        </w:rPr>
        <w:t xml:space="preserve"> and </w:t>
      </w:r>
      <w:proofErr w:type="spellStart"/>
      <w:r w:rsidRPr="00357B28">
        <w:rPr>
          <w:rFonts w:ascii="Calibri" w:hAnsi="Calibri" w:cs="Times New Roman"/>
          <w:i/>
          <w:iCs/>
          <w:sz w:val="18"/>
          <w:szCs w:val="24"/>
        </w:rPr>
        <w:t>Harrup</w:t>
      </w:r>
      <w:proofErr w:type="spellEnd"/>
      <w:r w:rsidRPr="00357B28">
        <w:rPr>
          <w:rFonts w:ascii="Calibri" w:hAnsi="Calibri" w:cs="Times New Roman"/>
          <w:i/>
          <w:iCs/>
          <w:sz w:val="18"/>
          <w:szCs w:val="24"/>
        </w:rPr>
        <w:t xml:space="preserve"> v United Kingdom </w:t>
      </w:r>
      <w:r w:rsidRPr="00357B28">
        <w:rPr>
          <w:rFonts w:ascii="Calibri" w:hAnsi="Calibri" w:cs="Times New Roman"/>
          <w:sz w:val="18"/>
          <w:szCs w:val="24"/>
        </w:rPr>
        <w:t>(1999) 30 EHRR 241, para 38</w:t>
      </w:r>
      <w:r>
        <w:rPr>
          <w:rFonts w:ascii="Calibri" w:hAnsi="Calibri" w:cs="Times New Roman"/>
          <w:sz w:val="18"/>
          <w:szCs w:val="24"/>
        </w:rPr>
        <w:t xml:space="preserve"> where Strasbourg rejected the idea that national courts </w:t>
      </w:r>
      <w:proofErr w:type="spellStart"/>
      <w:r w:rsidRPr="00357B28">
        <w:rPr>
          <w:rFonts w:ascii="Calibri" w:hAnsi="Calibri" w:cs="Times New Roman"/>
          <w:sz w:val="18"/>
          <w:szCs w:val="24"/>
        </w:rPr>
        <w:t>courts</w:t>
      </w:r>
      <w:proofErr w:type="spellEnd"/>
      <w:r w:rsidRPr="00357B28">
        <w:rPr>
          <w:rFonts w:ascii="Calibri" w:hAnsi="Calibri" w:cs="Times New Roman"/>
          <w:sz w:val="18"/>
          <w:szCs w:val="24"/>
        </w:rPr>
        <w:t xml:space="preserve"> </w:t>
      </w:r>
      <w:r w:rsidR="00F85CE8">
        <w:rPr>
          <w:rFonts w:ascii="Calibri" w:hAnsi="Calibri" w:cs="Times New Roman"/>
          <w:sz w:val="18"/>
          <w:szCs w:val="24"/>
        </w:rPr>
        <w:t>can</w:t>
      </w:r>
      <w:r w:rsidRPr="00357B28">
        <w:rPr>
          <w:rFonts w:ascii="Calibri" w:hAnsi="Calibri" w:cs="Times New Roman"/>
          <w:sz w:val="18"/>
          <w:szCs w:val="24"/>
        </w:rPr>
        <w:t xml:space="preserve"> characterise an action as criminal simply because it was</w:t>
      </w:r>
      <w:r>
        <w:rPr>
          <w:rFonts w:ascii="Calibri" w:hAnsi="Calibri" w:cs="Times New Roman"/>
          <w:sz w:val="18"/>
          <w:szCs w:val="24"/>
        </w:rPr>
        <w:t xml:space="preserve"> </w:t>
      </w:r>
      <w:r w:rsidRPr="00357B28">
        <w:rPr>
          <w:rFonts w:ascii="Calibri" w:hAnsi="Calibri" w:cs="Times New Roman"/>
          <w:sz w:val="18"/>
          <w:szCs w:val="24"/>
        </w:rPr>
        <w:t>“</w:t>
      </w:r>
      <w:r w:rsidRPr="00357B28">
        <w:rPr>
          <w:rFonts w:ascii="Calibri" w:hAnsi="Calibri" w:cs="Times New Roman"/>
          <w:i/>
          <w:sz w:val="18"/>
          <w:szCs w:val="24"/>
        </w:rPr>
        <w:t>wrong rather than right in the judgment of the majority of contemporary fellow citizens</w:t>
      </w:r>
      <w:r>
        <w:rPr>
          <w:rFonts w:ascii="Calibri" w:hAnsi="Calibri" w:cs="Times New Roman"/>
          <w:i/>
          <w:sz w:val="18"/>
          <w:szCs w:val="24"/>
        </w:rPr>
        <w:t>.</w:t>
      </w:r>
      <w:r w:rsidRPr="00357B28">
        <w:rPr>
          <w:rFonts w:ascii="Calibri" w:hAnsi="Calibri" w:cs="Times New Roman"/>
          <w:sz w:val="18"/>
          <w:szCs w:val="24"/>
        </w:rPr>
        <w:t>”</w:t>
      </w:r>
      <w:r>
        <w:rPr>
          <w:rFonts w:ascii="Calibri" w:hAnsi="Calibri" w:cs="Times New Roman"/>
          <w:sz w:val="18"/>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E50AA"/>
    <w:lvl w:ilvl="0">
      <w:start w:val="1"/>
      <w:numFmt w:val="decimal"/>
      <w:pStyle w:val="Heading1"/>
      <w:lvlText w:val="%1."/>
      <w:legacy w:legacy="1" w:legacySpace="0" w:legacyIndent="737"/>
      <w:lvlJc w:val="left"/>
      <w:pPr>
        <w:ind w:left="737" w:hanging="737"/>
      </w:pPr>
      <w:rPr>
        <w:i w:val="0"/>
      </w:r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hanging="720"/>
      </w:pPr>
    </w:lvl>
    <w:lvl w:ilvl="8">
      <w:start w:val="1"/>
      <w:numFmt w:val="none"/>
      <w:pStyle w:val="Heading9"/>
      <w:suff w:val="nothing"/>
      <w:lvlText w:val=""/>
      <w:lvlJc w:val="left"/>
      <w:pPr>
        <w:ind w:hanging="720"/>
      </w:pPr>
    </w:lvl>
  </w:abstractNum>
  <w:abstractNum w:abstractNumId="1">
    <w:nsid w:val="029E0944"/>
    <w:multiLevelType w:val="hybridMultilevel"/>
    <w:tmpl w:val="72CEE48A"/>
    <w:lvl w:ilvl="0" w:tplc="FE5CB600">
      <w:start w:val="1"/>
      <w:numFmt w:val="decimal"/>
      <w:pStyle w:val="ASQC"/>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4536C"/>
    <w:multiLevelType w:val="hybridMultilevel"/>
    <w:tmpl w:val="126AC5E0"/>
    <w:lvl w:ilvl="0" w:tplc="BCA47304">
      <w:start w:val="1"/>
      <w:numFmt w:val="decimal"/>
      <w:lvlText w:val="%1."/>
      <w:lvlJc w:val="left"/>
      <w:pPr>
        <w:ind w:left="720" w:hanging="360"/>
      </w:pPr>
      <w:rPr>
        <w:rFonts w:asciiTheme="minorHAnsi" w:hAnsiTheme="minorHAnsi" w:hint="default"/>
        <w:b w:val="0"/>
        <w:i w:val="0"/>
        <w:sz w:val="24"/>
      </w:rPr>
    </w:lvl>
    <w:lvl w:ilvl="1" w:tplc="D60AB8B4">
      <w:start w:val="1"/>
      <w:numFmt w:val="lowerLetter"/>
      <w:lvlText w:val="%2."/>
      <w:lvlJc w:val="left"/>
      <w:pPr>
        <w:ind w:left="1440" w:hanging="360"/>
      </w:pPr>
      <w:rPr>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4072F"/>
    <w:multiLevelType w:val="hybridMultilevel"/>
    <w:tmpl w:val="4FAC03DA"/>
    <w:lvl w:ilvl="0" w:tplc="46220880">
      <w:start w:val="1"/>
      <w:numFmt w:val="decimal"/>
      <w:lvlText w:val="%1."/>
      <w:lvlJc w:val="left"/>
      <w:pPr>
        <w:ind w:left="360" w:hanging="360"/>
      </w:pPr>
      <w:rPr>
        <w:rFonts w:hint="default"/>
        <w:b w:val="0"/>
        <w:i w:val="0"/>
      </w:rPr>
    </w:lvl>
    <w:lvl w:ilvl="1" w:tplc="2552200A">
      <w:start w:val="1"/>
      <w:numFmt w:val="lowerLetter"/>
      <w:lvlText w:val="%2."/>
      <w:lvlJc w:val="left"/>
      <w:pPr>
        <w:ind w:left="1440" w:hanging="360"/>
      </w:pPr>
      <w:rPr>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922DA"/>
    <w:multiLevelType w:val="hybridMultilevel"/>
    <w:tmpl w:val="AEAA4C58"/>
    <w:lvl w:ilvl="0" w:tplc="81180F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25C0B70"/>
    <w:multiLevelType w:val="hybridMultilevel"/>
    <w:tmpl w:val="428A1D86"/>
    <w:lvl w:ilvl="0" w:tplc="05586D86">
      <w:start w:val="1"/>
      <w:numFmt w:val="bullet"/>
      <w:pStyle w:val="lis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E96CC7"/>
    <w:multiLevelType w:val="hybridMultilevel"/>
    <w:tmpl w:val="8558F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C4E9E"/>
    <w:multiLevelType w:val="hybridMultilevel"/>
    <w:tmpl w:val="0234EBCC"/>
    <w:lvl w:ilvl="0" w:tplc="2606115A">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C496D9A"/>
    <w:multiLevelType w:val="hybridMultilevel"/>
    <w:tmpl w:val="77D808C4"/>
    <w:lvl w:ilvl="0" w:tplc="F740FAE2">
      <w:start w:val="4"/>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440A022F"/>
    <w:multiLevelType w:val="hybridMultilevel"/>
    <w:tmpl w:val="CA9C3B88"/>
    <w:lvl w:ilvl="0" w:tplc="3DC61EB0">
      <w:start w:val="1"/>
      <w:numFmt w:val="decimal"/>
      <w:lvlText w:val="%1."/>
      <w:lvlJc w:val="left"/>
      <w:pPr>
        <w:ind w:left="720" w:hanging="360"/>
      </w:pPr>
      <w:rPr>
        <w:rFonts w:hint="default"/>
        <w:b w:val="0"/>
        <w:sz w:val="24"/>
        <w:szCs w:val="24"/>
      </w:rPr>
    </w:lvl>
    <w:lvl w:ilvl="1" w:tplc="4E2E96D4">
      <w:start w:val="1"/>
      <w:numFmt w:val="lowerLetter"/>
      <w:lvlText w:val="%2."/>
      <w:lvlJc w:val="left"/>
      <w:pPr>
        <w:ind w:left="1440" w:hanging="360"/>
      </w:pPr>
      <w:rPr>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8C3685"/>
    <w:multiLevelType w:val="hybridMultilevel"/>
    <w:tmpl w:val="68227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887184"/>
    <w:multiLevelType w:val="hybridMultilevel"/>
    <w:tmpl w:val="339C6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195EC2"/>
    <w:multiLevelType w:val="hybridMultilevel"/>
    <w:tmpl w:val="102A5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C235243"/>
    <w:multiLevelType w:val="hybridMultilevel"/>
    <w:tmpl w:val="F1D40042"/>
    <w:lvl w:ilvl="0" w:tplc="4600C98E">
      <w:start w:val="1"/>
      <w:numFmt w:val="lowerLetter"/>
      <w:lvlText w:val="(%1)"/>
      <w:lvlJc w:val="left"/>
      <w:pPr>
        <w:ind w:left="1131" w:hanging="504"/>
      </w:pPr>
      <w:rPr>
        <w:rFonts w:hint="default"/>
        <w:sz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4">
    <w:nsid w:val="75D70B9F"/>
    <w:multiLevelType w:val="multilevel"/>
    <w:tmpl w:val="2F1836FE"/>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decimal"/>
      <w:lvlText w:val="%3)"/>
      <w:lvlJc w:val="left"/>
      <w:pPr>
        <w:tabs>
          <w:tab w:val="num" w:pos="2127"/>
        </w:tabs>
        <w:ind w:left="2127" w:hanging="709"/>
      </w:pPr>
      <w:rPr>
        <w:rFonts w:ascii="Times New Roman" w:eastAsia="Times New Roman" w:hAnsi="Times New Roman" w:cs="Times New Roman"/>
      </w:rPr>
    </w:lvl>
    <w:lvl w:ilvl="3">
      <w:start w:val="1"/>
      <w:numFmt w:val="lowerRoman"/>
      <w:lvlText w:val="%4)"/>
      <w:lvlJc w:val="left"/>
      <w:pPr>
        <w:tabs>
          <w:tab w:val="num" w:pos="3207"/>
        </w:tabs>
        <w:ind w:left="2836" w:hanging="709"/>
      </w:pPr>
      <w:rPr>
        <w:rFonts w:hint="default"/>
      </w:rPr>
    </w:lvl>
    <w:lvl w:ilvl="4">
      <w:start w:val="1"/>
      <w:numFmt w:val="none"/>
      <w:lvlText w:val="(a)"/>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num w:numId="1">
    <w:abstractNumId w:val="2"/>
  </w:num>
  <w:num w:numId="2">
    <w:abstractNumId w:val="9"/>
  </w:num>
  <w:num w:numId="3">
    <w:abstractNumId w:val="12"/>
  </w:num>
  <w:num w:numId="4">
    <w:abstractNumId w:val="0"/>
  </w:num>
  <w:num w:numId="5">
    <w:abstractNumId w:val="3"/>
  </w:num>
  <w:num w:numId="6">
    <w:abstractNumId w:val="4"/>
  </w:num>
  <w:num w:numId="7">
    <w:abstractNumId w:val="14"/>
  </w:num>
  <w:num w:numId="8">
    <w:abstractNumId w:val="8"/>
  </w:num>
  <w:num w:numId="9">
    <w:abstractNumId w:val="11"/>
  </w:num>
  <w:num w:numId="10">
    <w:abstractNumId w:val="7"/>
  </w:num>
  <w:num w:numId="11">
    <w:abstractNumId w:val="1"/>
  </w:num>
  <w:num w:numId="12">
    <w:abstractNumId w:val="10"/>
  </w:num>
  <w:num w:numId="13">
    <w:abstractNumId w:val="1"/>
    <w:lvlOverride w:ilvl="0">
      <w:startOverride w:val="1"/>
    </w:lvlOverride>
  </w:num>
  <w:num w:numId="14">
    <w:abstractNumId w:val="1"/>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82"/>
    <w:rsid w:val="0000743E"/>
    <w:rsid w:val="00033D04"/>
    <w:rsid w:val="0003576E"/>
    <w:rsid w:val="00036E8C"/>
    <w:rsid w:val="00047FE1"/>
    <w:rsid w:val="000629FF"/>
    <w:rsid w:val="00077E0D"/>
    <w:rsid w:val="000A182C"/>
    <w:rsid w:val="000A52CC"/>
    <w:rsid w:val="000A7F1A"/>
    <w:rsid w:val="000E18BA"/>
    <w:rsid w:val="000E6AA8"/>
    <w:rsid w:val="00101148"/>
    <w:rsid w:val="00123AA9"/>
    <w:rsid w:val="0013037C"/>
    <w:rsid w:val="00140BE3"/>
    <w:rsid w:val="001472A5"/>
    <w:rsid w:val="00164FBD"/>
    <w:rsid w:val="00174F5B"/>
    <w:rsid w:val="00195740"/>
    <w:rsid w:val="00195DDF"/>
    <w:rsid w:val="001A4D2D"/>
    <w:rsid w:val="001C3535"/>
    <w:rsid w:val="0023445C"/>
    <w:rsid w:val="002438B9"/>
    <w:rsid w:val="002443C6"/>
    <w:rsid w:val="002460AA"/>
    <w:rsid w:val="002569F5"/>
    <w:rsid w:val="00263667"/>
    <w:rsid w:val="002672EB"/>
    <w:rsid w:val="002948A4"/>
    <w:rsid w:val="002C0B2A"/>
    <w:rsid w:val="002D0E3F"/>
    <w:rsid w:val="002D7214"/>
    <w:rsid w:val="002E785F"/>
    <w:rsid w:val="002F0109"/>
    <w:rsid w:val="002F3B84"/>
    <w:rsid w:val="00300912"/>
    <w:rsid w:val="003050DF"/>
    <w:rsid w:val="00321BE0"/>
    <w:rsid w:val="0033181D"/>
    <w:rsid w:val="00340B2A"/>
    <w:rsid w:val="00350837"/>
    <w:rsid w:val="00351F3A"/>
    <w:rsid w:val="00357B28"/>
    <w:rsid w:val="00360BE3"/>
    <w:rsid w:val="00372AE6"/>
    <w:rsid w:val="0038338C"/>
    <w:rsid w:val="003838BF"/>
    <w:rsid w:val="00391115"/>
    <w:rsid w:val="0039522E"/>
    <w:rsid w:val="003C3D69"/>
    <w:rsid w:val="003C75CC"/>
    <w:rsid w:val="003D645E"/>
    <w:rsid w:val="003E1069"/>
    <w:rsid w:val="003E21F3"/>
    <w:rsid w:val="003F094D"/>
    <w:rsid w:val="003F7710"/>
    <w:rsid w:val="00410A87"/>
    <w:rsid w:val="004249D8"/>
    <w:rsid w:val="00427A2D"/>
    <w:rsid w:val="0043571A"/>
    <w:rsid w:val="004457BB"/>
    <w:rsid w:val="004530C8"/>
    <w:rsid w:val="004637A0"/>
    <w:rsid w:val="0046629F"/>
    <w:rsid w:val="00475464"/>
    <w:rsid w:val="00477BC9"/>
    <w:rsid w:val="004B4699"/>
    <w:rsid w:val="004B6584"/>
    <w:rsid w:val="004C438A"/>
    <w:rsid w:val="004C6699"/>
    <w:rsid w:val="004D1C7C"/>
    <w:rsid w:val="004D2DAA"/>
    <w:rsid w:val="004D4B19"/>
    <w:rsid w:val="004E0AB9"/>
    <w:rsid w:val="004E2807"/>
    <w:rsid w:val="004E5D7A"/>
    <w:rsid w:val="005056F7"/>
    <w:rsid w:val="0052239B"/>
    <w:rsid w:val="00522AFC"/>
    <w:rsid w:val="00524150"/>
    <w:rsid w:val="0053211A"/>
    <w:rsid w:val="00536F48"/>
    <w:rsid w:val="00544B57"/>
    <w:rsid w:val="00551A03"/>
    <w:rsid w:val="00553070"/>
    <w:rsid w:val="00556AD5"/>
    <w:rsid w:val="00561C85"/>
    <w:rsid w:val="005676AD"/>
    <w:rsid w:val="00570077"/>
    <w:rsid w:val="00594933"/>
    <w:rsid w:val="00595EE0"/>
    <w:rsid w:val="005A7002"/>
    <w:rsid w:val="005B2550"/>
    <w:rsid w:val="005B38A2"/>
    <w:rsid w:val="005B7E17"/>
    <w:rsid w:val="005C19CA"/>
    <w:rsid w:val="005C33DD"/>
    <w:rsid w:val="0061514B"/>
    <w:rsid w:val="00617C32"/>
    <w:rsid w:val="006241A6"/>
    <w:rsid w:val="00626117"/>
    <w:rsid w:val="00626365"/>
    <w:rsid w:val="00633466"/>
    <w:rsid w:val="00640D60"/>
    <w:rsid w:val="00641F49"/>
    <w:rsid w:val="006464A0"/>
    <w:rsid w:val="00646B16"/>
    <w:rsid w:val="00651D2A"/>
    <w:rsid w:val="00655799"/>
    <w:rsid w:val="00657D04"/>
    <w:rsid w:val="00677357"/>
    <w:rsid w:val="006C5C7A"/>
    <w:rsid w:val="006D1BEF"/>
    <w:rsid w:val="006D6CD1"/>
    <w:rsid w:val="006E1A81"/>
    <w:rsid w:val="006F4EFB"/>
    <w:rsid w:val="00707FBB"/>
    <w:rsid w:val="007207C1"/>
    <w:rsid w:val="007239DF"/>
    <w:rsid w:val="00723D1C"/>
    <w:rsid w:val="007313D5"/>
    <w:rsid w:val="00745D0A"/>
    <w:rsid w:val="007460BA"/>
    <w:rsid w:val="00753649"/>
    <w:rsid w:val="0075411E"/>
    <w:rsid w:val="00761870"/>
    <w:rsid w:val="007621FF"/>
    <w:rsid w:val="00764854"/>
    <w:rsid w:val="00765CCF"/>
    <w:rsid w:val="007742DC"/>
    <w:rsid w:val="00794374"/>
    <w:rsid w:val="007945C7"/>
    <w:rsid w:val="007C6241"/>
    <w:rsid w:val="007D58B1"/>
    <w:rsid w:val="007E53F6"/>
    <w:rsid w:val="007E60FC"/>
    <w:rsid w:val="0080149C"/>
    <w:rsid w:val="008166E0"/>
    <w:rsid w:val="008516D4"/>
    <w:rsid w:val="00866EBF"/>
    <w:rsid w:val="00883BE1"/>
    <w:rsid w:val="00893046"/>
    <w:rsid w:val="008A4412"/>
    <w:rsid w:val="008C7C58"/>
    <w:rsid w:val="008D0ACD"/>
    <w:rsid w:val="008E3C9A"/>
    <w:rsid w:val="00907B46"/>
    <w:rsid w:val="00911BBF"/>
    <w:rsid w:val="00917CA3"/>
    <w:rsid w:val="009224BC"/>
    <w:rsid w:val="00925F86"/>
    <w:rsid w:val="00926EC4"/>
    <w:rsid w:val="0093704F"/>
    <w:rsid w:val="009818EC"/>
    <w:rsid w:val="00983FBD"/>
    <w:rsid w:val="009938EF"/>
    <w:rsid w:val="009B60E4"/>
    <w:rsid w:val="009D1BC9"/>
    <w:rsid w:val="009D1E06"/>
    <w:rsid w:val="009E4301"/>
    <w:rsid w:val="009F1C6F"/>
    <w:rsid w:val="009F4F61"/>
    <w:rsid w:val="00A1086E"/>
    <w:rsid w:val="00A12DF2"/>
    <w:rsid w:val="00A23DD1"/>
    <w:rsid w:val="00A301B9"/>
    <w:rsid w:val="00A33583"/>
    <w:rsid w:val="00A37A69"/>
    <w:rsid w:val="00A658B3"/>
    <w:rsid w:val="00A73942"/>
    <w:rsid w:val="00A87591"/>
    <w:rsid w:val="00A913F4"/>
    <w:rsid w:val="00AC0568"/>
    <w:rsid w:val="00AD39CB"/>
    <w:rsid w:val="00AD69B2"/>
    <w:rsid w:val="00AD73A8"/>
    <w:rsid w:val="00B14261"/>
    <w:rsid w:val="00B152D7"/>
    <w:rsid w:val="00B303A0"/>
    <w:rsid w:val="00B406AA"/>
    <w:rsid w:val="00B42981"/>
    <w:rsid w:val="00B537C6"/>
    <w:rsid w:val="00B53C69"/>
    <w:rsid w:val="00B729C9"/>
    <w:rsid w:val="00B975E9"/>
    <w:rsid w:val="00BA7169"/>
    <w:rsid w:val="00BB0FED"/>
    <w:rsid w:val="00BB14AC"/>
    <w:rsid w:val="00BD6513"/>
    <w:rsid w:val="00BD6C5B"/>
    <w:rsid w:val="00BE0CB8"/>
    <w:rsid w:val="00BE3AFA"/>
    <w:rsid w:val="00BE4D6E"/>
    <w:rsid w:val="00C17633"/>
    <w:rsid w:val="00C20D18"/>
    <w:rsid w:val="00C23924"/>
    <w:rsid w:val="00C41925"/>
    <w:rsid w:val="00C5540A"/>
    <w:rsid w:val="00C643E8"/>
    <w:rsid w:val="00C664DD"/>
    <w:rsid w:val="00C71F9A"/>
    <w:rsid w:val="00C73718"/>
    <w:rsid w:val="00CA7325"/>
    <w:rsid w:val="00CA7B38"/>
    <w:rsid w:val="00CB5C6A"/>
    <w:rsid w:val="00CC7102"/>
    <w:rsid w:val="00CC751B"/>
    <w:rsid w:val="00CE046B"/>
    <w:rsid w:val="00CE4D86"/>
    <w:rsid w:val="00CE5282"/>
    <w:rsid w:val="00D1136B"/>
    <w:rsid w:val="00D13A00"/>
    <w:rsid w:val="00D17B5B"/>
    <w:rsid w:val="00D17E9E"/>
    <w:rsid w:val="00D3715E"/>
    <w:rsid w:val="00D532F3"/>
    <w:rsid w:val="00D713E3"/>
    <w:rsid w:val="00D83A5C"/>
    <w:rsid w:val="00D87364"/>
    <w:rsid w:val="00DA0B8C"/>
    <w:rsid w:val="00DB6AA5"/>
    <w:rsid w:val="00DC07F3"/>
    <w:rsid w:val="00DC0C13"/>
    <w:rsid w:val="00DE514C"/>
    <w:rsid w:val="00DF6B1D"/>
    <w:rsid w:val="00E03D25"/>
    <w:rsid w:val="00E06E9A"/>
    <w:rsid w:val="00E2289F"/>
    <w:rsid w:val="00E515F9"/>
    <w:rsid w:val="00E5600F"/>
    <w:rsid w:val="00E56F0E"/>
    <w:rsid w:val="00E627BC"/>
    <w:rsid w:val="00E668FF"/>
    <w:rsid w:val="00E823C7"/>
    <w:rsid w:val="00E8311D"/>
    <w:rsid w:val="00E86739"/>
    <w:rsid w:val="00E92070"/>
    <w:rsid w:val="00E9617D"/>
    <w:rsid w:val="00EA012A"/>
    <w:rsid w:val="00EB2774"/>
    <w:rsid w:val="00EB7CA6"/>
    <w:rsid w:val="00ED2BBF"/>
    <w:rsid w:val="00ED77AC"/>
    <w:rsid w:val="00EE1102"/>
    <w:rsid w:val="00EE42C2"/>
    <w:rsid w:val="00F05DA8"/>
    <w:rsid w:val="00F062CA"/>
    <w:rsid w:val="00F25CC7"/>
    <w:rsid w:val="00F26A46"/>
    <w:rsid w:val="00F31EA8"/>
    <w:rsid w:val="00F3289B"/>
    <w:rsid w:val="00F36521"/>
    <w:rsid w:val="00F4269A"/>
    <w:rsid w:val="00F71B75"/>
    <w:rsid w:val="00F74B5D"/>
    <w:rsid w:val="00F80C22"/>
    <w:rsid w:val="00F85CE8"/>
    <w:rsid w:val="00FA6261"/>
    <w:rsid w:val="00FA72A6"/>
    <w:rsid w:val="00FB1573"/>
    <w:rsid w:val="00FB29A2"/>
    <w:rsid w:val="00FC0652"/>
    <w:rsid w:val="00FC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D0ACD"/>
    <w:pPr>
      <w:numPr>
        <w:numId w:val="4"/>
      </w:numPr>
      <w:overflowPunct w:val="0"/>
      <w:autoSpaceDE w:val="0"/>
      <w:autoSpaceDN w:val="0"/>
      <w:adjustRightInd w:val="0"/>
      <w:spacing w:after="240" w:line="360" w:lineRule="auto"/>
      <w:jc w:val="both"/>
      <w:textAlignment w:val="baseline"/>
      <w:outlineLvl w:val="0"/>
    </w:pPr>
    <w:rPr>
      <w:rFonts w:ascii="Times New Roman" w:eastAsia="Times New Roman" w:hAnsi="Times New Roman" w:cs="Times New Roman"/>
      <w:kern w:val="28"/>
    </w:rPr>
  </w:style>
  <w:style w:type="paragraph" w:styleId="Heading2">
    <w:name w:val="heading 2"/>
    <w:aliases w:val=" Char"/>
    <w:basedOn w:val="Normal"/>
    <w:link w:val="Heading2Char"/>
    <w:qFormat/>
    <w:rsid w:val="008D0ACD"/>
    <w:pPr>
      <w:numPr>
        <w:ilvl w:val="1"/>
        <w:numId w:val="4"/>
      </w:numPr>
      <w:overflowPunct w:val="0"/>
      <w:autoSpaceDE w:val="0"/>
      <w:autoSpaceDN w:val="0"/>
      <w:adjustRightInd w:val="0"/>
      <w:spacing w:after="240" w:line="360" w:lineRule="auto"/>
      <w:ind w:hanging="720"/>
      <w:jc w:val="both"/>
      <w:textAlignment w:val="baseline"/>
      <w:outlineLvl w:val="1"/>
    </w:pPr>
    <w:rPr>
      <w:rFonts w:ascii="Times New Roman" w:eastAsia="Times New Roman" w:hAnsi="Times New Roman" w:cs="Times New Roman"/>
    </w:rPr>
  </w:style>
  <w:style w:type="paragraph" w:styleId="Heading3">
    <w:name w:val="heading 3"/>
    <w:basedOn w:val="Normal"/>
    <w:link w:val="Heading3Char"/>
    <w:qFormat/>
    <w:rsid w:val="008D0ACD"/>
    <w:pPr>
      <w:numPr>
        <w:ilvl w:val="2"/>
        <w:numId w:val="4"/>
      </w:numPr>
      <w:overflowPunct w:val="0"/>
      <w:autoSpaceDE w:val="0"/>
      <w:autoSpaceDN w:val="0"/>
      <w:adjustRightInd w:val="0"/>
      <w:spacing w:after="240" w:line="360" w:lineRule="auto"/>
      <w:ind w:hanging="720"/>
      <w:jc w:val="both"/>
      <w:textAlignment w:val="baseline"/>
      <w:outlineLvl w:val="2"/>
    </w:pPr>
    <w:rPr>
      <w:rFonts w:ascii="Times New Roman" w:eastAsia="Times New Roman" w:hAnsi="Times New Roman" w:cs="Times New Roman"/>
    </w:rPr>
  </w:style>
  <w:style w:type="paragraph" w:styleId="Heading4">
    <w:name w:val="heading 4"/>
    <w:basedOn w:val="Normal"/>
    <w:link w:val="Heading4Char"/>
    <w:qFormat/>
    <w:rsid w:val="008D0ACD"/>
    <w:pPr>
      <w:numPr>
        <w:ilvl w:val="3"/>
        <w:numId w:val="4"/>
      </w:numPr>
      <w:overflowPunct w:val="0"/>
      <w:autoSpaceDE w:val="0"/>
      <w:autoSpaceDN w:val="0"/>
      <w:adjustRightInd w:val="0"/>
      <w:spacing w:after="240" w:line="360" w:lineRule="auto"/>
      <w:ind w:hanging="720"/>
      <w:jc w:val="both"/>
      <w:textAlignment w:val="baseline"/>
      <w:outlineLvl w:val="3"/>
    </w:pPr>
    <w:rPr>
      <w:rFonts w:ascii="Times New Roman" w:eastAsia="Times New Roman" w:hAnsi="Times New Roman" w:cs="Times New Roman"/>
    </w:rPr>
  </w:style>
  <w:style w:type="paragraph" w:styleId="Heading5">
    <w:name w:val="heading 5"/>
    <w:basedOn w:val="Normal"/>
    <w:link w:val="Heading5Char"/>
    <w:qFormat/>
    <w:rsid w:val="008D0ACD"/>
    <w:pPr>
      <w:numPr>
        <w:ilvl w:val="4"/>
        <w:numId w:val="4"/>
      </w:numPr>
      <w:overflowPunct w:val="0"/>
      <w:autoSpaceDE w:val="0"/>
      <w:autoSpaceDN w:val="0"/>
      <w:adjustRightInd w:val="0"/>
      <w:spacing w:after="240" w:line="360" w:lineRule="auto"/>
      <w:ind w:hanging="720"/>
      <w:jc w:val="both"/>
      <w:textAlignment w:val="baseline"/>
      <w:outlineLvl w:val="4"/>
    </w:pPr>
    <w:rPr>
      <w:rFonts w:ascii="Times New Roman" w:eastAsia="Times New Roman" w:hAnsi="Times New Roman" w:cs="Times New Roman"/>
    </w:rPr>
  </w:style>
  <w:style w:type="paragraph" w:styleId="Heading6">
    <w:name w:val="heading 6"/>
    <w:basedOn w:val="Heading5"/>
    <w:link w:val="Heading6Char"/>
    <w:qFormat/>
    <w:rsid w:val="008D0ACD"/>
    <w:pPr>
      <w:numPr>
        <w:ilvl w:val="5"/>
      </w:numPr>
      <w:ind w:hanging="720"/>
      <w:outlineLvl w:val="5"/>
    </w:pPr>
  </w:style>
  <w:style w:type="paragraph" w:styleId="Heading7">
    <w:name w:val="heading 7"/>
    <w:basedOn w:val="Heading6"/>
    <w:link w:val="Heading7Char"/>
    <w:qFormat/>
    <w:rsid w:val="008D0ACD"/>
    <w:pPr>
      <w:numPr>
        <w:ilvl w:val="6"/>
      </w:numPr>
      <w:ind w:hanging="720"/>
      <w:outlineLvl w:val="6"/>
    </w:pPr>
  </w:style>
  <w:style w:type="paragraph" w:styleId="Heading8">
    <w:name w:val="heading 8"/>
    <w:basedOn w:val="Normal"/>
    <w:next w:val="Normal"/>
    <w:link w:val="Heading8Char"/>
    <w:qFormat/>
    <w:rsid w:val="008D0ACD"/>
    <w:pPr>
      <w:keepNext/>
      <w:numPr>
        <w:ilvl w:val="7"/>
        <w:numId w:val="4"/>
      </w:numPr>
      <w:overflowPunct w:val="0"/>
      <w:autoSpaceDE w:val="0"/>
      <w:autoSpaceDN w:val="0"/>
      <w:adjustRightInd w:val="0"/>
      <w:spacing w:after="240" w:line="360" w:lineRule="auto"/>
      <w:ind w:firstLine="0"/>
      <w:jc w:val="center"/>
      <w:textAlignment w:val="baseline"/>
      <w:outlineLvl w:val="7"/>
    </w:pPr>
    <w:rPr>
      <w:rFonts w:ascii="Times New Roman" w:eastAsia="Times New Roman" w:hAnsi="Times New Roman" w:cs="Times New Roman"/>
      <w:b/>
      <w:bCs/>
      <w:caps/>
    </w:rPr>
  </w:style>
  <w:style w:type="paragraph" w:styleId="Heading9">
    <w:name w:val="heading 9"/>
    <w:basedOn w:val="Heading8"/>
    <w:next w:val="Normal"/>
    <w:link w:val="Heading9Char"/>
    <w:qFormat/>
    <w:rsid w:val="008D0ACD"/>
    <w:pPr>
      <w:numPr>
        <w:ilvl w:val="8"/>
      </w:numPr>
      <w:tabs>
        <w:tab w:val="num" w:pos="360"/>
      </w:tabs>
      <w:ind w:firstLine="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282"/>
    <w:pPr>
      <w:ind w:left="720"/>
      <w:contextualSpacing/>
    </w:pPr>
  </w:style>
  <w:style w:type="paragraph" w:styleId="FootnoteText">
    <w:name w:val="footnote text"/>
    <w:basedOn w:val="Normal"/>
    <w:link w:val="FootnoteTextChar"/>
    <w:uiPriority w:val="99"/>
    <w:unhideWhenUsed/>
    <w:rsid w:val="00CE5282"/>
    <w:pPr>
      <w:spacing w:after="0" w:line="240" w:lineRule="auto"/>
    </w:pPr>
    <w:rPr>
      <w:sz w:val="20"/>
      <w:szCs w:val="20"/>
    </w:rPr>
  </w:style>
  <w:style w:type="character" w:customStyle="1" w:styleId="FootnoteTextChar">
    <w:name w:val="Footnote Text Char"/>
    <w:basedOn w:val="DefaultParagraphFont"/>
    <w:link w:val="FootnoteText"/>
    <w:uiPriority w:val="99"/>
    <w:rsid w:val="00CE5282"/>
    <w:rPr>
      <w:sz w:val="20"/>
      <w:szCs w:val="20"/>
    </w:rPr>
  </w:style>
  <w:style w:type="character" w:styleId="FootnoteReference">
    <w:name w:val="footnote reference"/>
    <w:basedOn w:val="DefaultParagraphFont"/>
    <w:uiPriority w:val="99"/>
    <w:semiHidden/>
    <w:unhideWhenUsed/>
    <w:rsid w:val="00CE5282"/>
    <w:rPr>
      <w:vertAlign w:val="superscript"/>
    </w:rPr>
  </w:style>
  <w:style w:type="character" w:styleId="Hyperlink">
    <w:name w:val="Hyperlink"/>
    <w:basedOn w:val="DefaultParagraphFont"/>
    <w:unhideWhenUsed/>
    <w:rsid w:val="00CE5282"/>
    <w:rPr>
      <w:color w:val="0000FF"/>
      <w:u w:val="single"/>
    </w:rPr>
  </w:style>
  <w:style w:type="character" w:styleId="FollowedHyperlink">
    <w:name w:val="FollowedHyperlink"/>
    <w:basedOn w:val="DefaultParagraphFont"/>
    <w:uiPriority w:val="99"/>
    <w:semiHidden/>
    <w:unhideWhenUsed/>
    <w:rsid w:val="00CA7325"/>
    <w:rPr>
      <w:color w:val="954F72" w:themeColor="followedHyperlink"/>
      <w:u w:val="single"/>
    </w:rPr>
  </w:style>
  <w:style w:type="character" w:customStyle="1" w:styleId="Heading1Char">
    <w:name w:val="Heading 1 Char"/>
    <w:basedOn w:val="DefaultParagraphFont"/>
    <w:link w:val="Heading1"/>
    <w:rsid w:val="008D0ACD"/>
    <w:rPr>
      <w:rFonts w:ascii="Times New Roman" w:eastAsia="Times New Roman" w:hAnsi="Times New Roman" w:cs="Times New Roman"/>
      <w:kern w:val="28"/>
    </w:rPr>
  </w:style>
  <w:style w:type="character" w:customStyle="1" w:styleId="Heading2Char">
    <w:name w:val="Heading 2 Char"/>
    <w:aliases w:val=" Char Char"/>
    <w:basedOn w:val="DefaultParagraphFont"/>
    <w:link w:val="Heading2"/>
    <w:rsid w:val="008D0ACD"/>
    <w:rPr>
      <w:rFonts w:ascii="Times New Roman" w:eastAsia="Times New Roman" w:hAnsi="Times New Roman" w:cs="Times New Roman"/>
    </w:rPr>
  </w:style>
  <w:style w:type="character" w:customStyle="1" w:styleId="Heading3Char">
    <w:name w:val="Heading 3 Char"/>
    <w:basedOn w:val="DefaultParagraphFont"/>
    <w:link w:val="Heading3"/>
    <w:rsid w:val="008D0ACD"/>
    <w:rPr>
      <w:rFonts w:ascii="Times New Roman" w:eastAsia="Times New Roman" w:hAnsi="Times New Roman" w:cs="Times New Roman"/>
    </w:rPr>
  </w:style>
  <w:style w:type="character" w:customStyle="1" w:styleId="Heading4Char">
    <w:name w:val="Heading 4 Char"/>
    <w:basedOn w:val="DefaultParagraphFont"/>
    <w:link w:val="Heading4"/>
    <w:rsid w:val="008D0ACD"/>
    <w:rPr>
      <w:rFonts w:ascii="Times New Roman" w:eastAsia="Times New Roman" w:hAnsi="Times New Roman" w:cs="Times New Roman"/>
    </w:rPr>
  </w:style>
  <w:style w:type="character" w:customStyle="1" w:styleId="Heading5Char">
    <w:name w:val="Heading 5 Char"/>
    <w:basedOn w:val="DefaultParagraphFont"/>
    <w:link w:val="Heading5"/>
    <w:rsid w:val="008D0ACD"/>
    <w:rPr>
      <w:rFonts w:ascii="Times New Roman" w:eastAsia="Times New Roman" w:hAnsi="Times New Roman" w:cs="Times New Roman"/>
    </w:rPr>
  </w:style>
  <w:style w:type="character" w:customStyle="1" w:styleId="Heading6Char">
    <w:name w:val="Heading 6 Char"/>
    <w:basedOn w:val="DefaultParagraphFont"/>
    <w:link w:val="Heading6"/>
    <w:rsid w:val="008D0ACD"/>
    <w:rPr>
      <w:rFonts w:ascii="Times New Roman" w:eastAsia="Times New Roman" w:hAnsi="Times New Roman" w:cs="Times New Roman"/>
    </w:rPr>
  </w:style>
  <w:style w:type="character" w:customStyle="1" w:styleId="Heading7Char">
    <w:name w:val="Heading 7 Char"/>
    <w:basedOn w:val="DefaultParagraphFont"/>
    <w:link w:val="Heading7"/>
    <w:rsid w:val="008D0ACD"/>
    <w:rPr>
      <w:rFonts w:ascii="Times New Roman" w:eastAsia="Times New Roman" w:hAnsi="Times New Roman" w:cs="Times New Roman"/>
    </w:rPr>
  </w:style>
  <w:style w:type="character" w:customStyle="1" w:styleId="Heading8Char">
    <w:name w:val="Heading 8 Char"/>
    <w:basedOn w:val="DefaultParagraphFont"/>
    <w:link w:val="Heading8"/>
    <w:rsid w:val="008D0ACD"/>
    <w:rPr>
      <w:rFonts w:ascii="Times New Roman" w:eastAsia="Times New Roman" w:hAnsi="Times New Roman" w:cs="Times New Roman"/>
      <w:b/>
      <w:bCs/>
      <w:caps/>
    </w:rPr>
  </w:style>
  <w:style w:type="character" w:customStyle="1" w:styleId="Heading9Char">
    <w:name w:val="Heading 9 Char"/>
    <w:basedOn w:val="DefaultParagraphFont"/>
    <w:link w:val="Heading9"/>
    <w:rsid w:val="008D0ACD"/>
    <w:rPr>
      <w:rFonts w:ascii="Times New Roman" w:eastAsia="Times New Roman" w:hAnsi="Times New Roman" w:cs="Times New Roman"/>
      <w:b/>
      <w:bCs/>
    </w:rPr>
  </w:style>
  <w:style w:type="paragraph" w:customStyle="1" w:styleId="Footnote">
    <w:name w:val="Footnote"/>
    <w:basedOn w:val="Normal"/>
    <w:rsid w:val="002F3B84"/>
    <w:pPr>
      <w:spacing w:before="120" w:after="120" w:line="240" w:lineRule="auto"/>
      <w:jc w:val="both"/>
    </w:pPr>
    <w:rPr>
      <w:rFonts w:ascii="Times New Roman" w:eastAsia="Times New Roman" w:hAnsi="Times New Roman" w:cs="Times New Roman"/>
      <w:sz w:val="18"/>
      <w:szCs w:val="24"/>
      <w:lang w:val="en-US"/>
    </w:rPr>
  </w:style>
  <w:style w:type="paragraph" w:customStyle="1" w:styleId="Para">
    <w:name w:val="Para"/>
    <w:basedOn w:val="Normal"/>
    <w:rsid w:val="002F3B84"/>
    <w:pPr>
      <w:tabs>
        <w:tab w:val="left" w:pos="360"/>
      </w:tabs>
      <w:spacing w:before="60" w:after="60" w:line="240" w:lineRule="auto"/>
      <w:ind w:left="864" w:hanging="864"/>
      <w:jc w:val="both"/>
    </w:pPr>
    <w:rPr>
      <w:rFonts w:ascii="Times New Roman" w:eastAsia="Times New Roman" w:hAnsi="Times New Roman" w:cs="Times New Roman"/>
      <w:sz w:val="20"/>
      <w:szCs w:val="24"/>
      <w:lang w:val="en-US"/>
    </w:rPr>
  </w:style>
  <w:style w:type="paragraph" w:customStyle="1" w:styleId="Extract">
    <w:name w:val="Extract"/>
    <w:basedOn w:val="Normal"/>
    <w:rsid w:val="002F3B84"/>
    <w:pPr>
      <w:spacing w:after="0" w:line="240" w:lineRule="auto"/>
      <w:ind w:left="1080" w:right="360"/>
      <w:jc w:val="both"/>
    </w:pPr>
    <w:rPr>
      <w:rFonts w:ascii="Times New Roman" w:eastAsia="Times New Roman" w:hAnsi="Times New Roman" w:cs="Century"/>
      <w:sz w:val="20"/>
      <w:szCs w:val="24"/>
      <w:lang w:val="en-US"/>
    </w:rPr>
  </w:style>
  <w:style w:type="paragraph" w:customStyle="1" w:styleId="list1">
    <w:name w:val="list1"/>
    <w:basedOn w:val="Normal"/>
    <w:autoRedefine/>
    <w:rsid w:val="00351F3A"/>
    <w:pPr>
      <w:numPr>
        <w:numId w:val="16"/>
      </w:numPr>
      <w:spacing w:before="120" w:after="120" w:line="240" w:lineRule="auto"/>
      <w:jc w:val="both"/>
    </w:pPr>
    <w:rPr>
      <w:rFonts w:cs="Times New Roman"/>
      <w:b/>
      <w:smallCaps/>
      <w:sz w:val="24"/>
      <w:szCs w:val="24"/>
      <w:lang w:val="en-US"/>
    </w:rPr>
  </w:style>
  <w:style w:type="character" w:styleId="Emphasis">
    <w:name w:val="Emphasis"/>
    <w:basedOn w:val="DefaultParagraphFont"/>
    <w:uiPriority w:val="20"/>
    <w:qFormat/>
    <w:rsid w:val="002672EB"/>
    <w:rPr>
      <w:i/>
      <w:iCs/>
    </w:rPr>
  </w:style>
  <w:style w:type="character" w:customStyle="1" w:styleId="apple-converted-space">
    <w:name w:val="apple-converted-space"/>
    <w:basedOn w:val="DefaultParagraphFont"/>
    <w:rsid w:val="002672EB"/>
  </w:style>
  <w:style w:type="paragraph" w:customStyle="1" w:styleId="ParaLevel9">
    <w:name w:val="ParaLevel9"/>
    <w:basedOn w:val="Normal"/>
    <w:rsid w:val="009224BC"/>
    <w:pPr>
      <w:tabs>
        <w:tab w:val="num" w:pos="6381"/>
      </w:tabs>
      <w:suppressAutoHyphens/>
      <w:spacing w:before="240" w:after="240" w:line="240" w:lineRule="auto"/>
      <w:ind w:left="6381" w:hanging="709"/>
      <w:jc w:val="both"/>
      <w:outlineLvl w:val="8"/>
    </w:pPr>
    <w:rPr>
      <w:rFonts w:ascii="Times New Roman" w:eastAsia="Times New Roman" w:hAnsi="Times New Roman" w:cs="Times New Roman"/>
      <w:sz w:val="24"/>
      <w:szCs w:val="20"/>
    </w:rPr>
  </w:style>
  <w:style w:type="character" w:styleId="CommentReference">
    <w:name w:val="annotation reference"/>
    <w:semiHidden/>
    <w:rsid w:val="009224BC"/>
    <w:rPr>
      <w:sz w:val="16"/>
      <w:szCs w:val="16"/>
    </w:rPr>
  </w:style>
  <w:style w:type="paragraph" w:styleId="CommentText">
    <w:name w:val="annotation text"/>
    <w:basedOn w:val="Normal"/>
    <w:link w:val="CommentTextChar"/>
    <w:semiHidden/>
    <w:rsid w:val="009224B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224BC"/>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21BE0"/>
    <w:pPr>
      <w:spacing w:after="120" w:line="276" w:lineRule="auto"/>
    </w:pPr>
    <w:rPr>
      <w:rFonts w:ascii="Cambria" w:eastAsia="Cambria" w:hAnsi="Cambria" w:cs="Times New Roman"/>
      <w:i/>
      <w:iCs/>
      <w:color w:val="000000"/>
      <w:lang w:val="x-none"/>
    </w:rPr>
  </w:style>
  <w:style w:type="character" w:customStyle="1" w:styleId="QuoteChar">
    <w:name w:val="Quote Char"/>
    <w:basedOn w:val="DefaultParagraphFont"/>
    <w:link w:val="Quote"/>
    <w:uiPriority w:val="29"/>
    <w:rsid w:val="00321BE0"/>
    <w:rPr>
      <w:rFonts w:ascii="Cambria" w:eastAsia="Cambria" w:hAnsi="Cambria" w:cs="Times New Roman"/>
      <w:i/>
      <w:iCs/>
      <w:color w:val="000000"/>
      <w:lang w:val="x-none"/>
    </w:rPr>
  </w:style>
  <w:style w:type="paragraph" w:styleId="BalloonText">
    <w:name w:val="Balloon Text"/>
    <w:basedOn w:val="Normal"/>
    <w:link w:val="BalloonTextChar"/>
    <w:uiPriority w:val="99"/>
    <w:semiHidden/>
    <w:unhideWhenUsed/>
    <w:rsid w:val="0007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0D"/>
    <w:rPr>
      <w:rFonts w:ascii="Segoe UI" w:hAnsi="Segoe UI" w:cs="Segoe UI"/>
      <w:sz w:val="18"/>
      <w:szCs w:val="18"/>
    </w:rPr>
  </w:style>
  <w:style w:type="paragraph" w:styleId="Header">
    <w:name w:val="header"/>
    <w:basedOn w:val="Normal"/>
    <w:link w:val="HeaderChar"/>
    <w:uiPriority w:val="99"/>
    <w:unhideWhenUsed/>
    <w:rsid w:val="00294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A4"/>
  </w:style>
  <w:style w:type="paragraph" w:styleId="Footer">
    <w:name w:val="footer"/>
    <w:basedOn w:val="Normal"/>
    <w:link w:val="FooterChar"/>
    <w:uiPriority w:val="99"/>
    <w:unhideWhenUsed/>
    <w:rsid w:val="00294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A4"/>
  </w:style>
  <w:style w:type="paragraph" w:customStyle="1" w:styleId="ASQC">
    <w:name w:val="ASQC"/>
    <w:basedOn w:val="ListParagraph"/>
    <w:link w:val="ASQCChar"/>
    <w:qFormat/>
    <w:rsid w:val="008516D4"/>
    <w:pPr>
      <w:numPr>
        <w:numId w:val="11"/>
      </w:numPr>
      <w:ind w:left="567" w:hanging="567"/>
    </w:pPr>
    <w:rPr>
      <w:sz w:val="24"/>
      <w:szCs w:val="24"/>
    </w:rPr>
  </w:style>
  <w:style w:type="character" w:customStyle="1" w:styleId="ListParagraphChar">
    <w:name w:val="List Paragraph Char"/>
    <w:basedOn w:val="DefaultParagraphFont"/>
    <w:link w:val="ListParagraph"/>
    <w:uiPriority w:val="34"/>
    <w:rsid w:val="008516D4"/>
  </w:style>
  <w:style w:type="character" w:customStyle="1" w:styleId="ASQCChar">
    <w:name w:val="ASQC Char"/>
    <w:basedOn w:val="ListParagraphChar"/>
    <w:link w:val="ASQC"/>
    <w:rsid w:val="008516D4"/>
    <w:rPr>
      <w:sz w:val="24"/>
      <w:szCs w:val="24"/>
    </w:rPr>
  </w:style>
  <w:style w:type="paragraph" w:customStyle="1" w:styleId="Npara">
    <w:name w:val="Npara"/>
    <w:basedOn w:val="Para"/>
    <w:rsid w:val="000A52CC"/>
    <w:pPr>
      <w:ind w:firstLine="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D0ACD"/>
    <w:pPr>
      <w:numPr>
        <w:numId w:val="4"/>
      </w:numPr>
      <w:overflowPunct w:val="0"/>
      <w:autoSpaceDE w:val="0"/>
      <w:autoSpaceDN w:val="0"/>
      <w:adjustRightInd w:val="0"/>
      <w:spacing w:after="240" w:line="360" w:lineRule="auto"/>
      <w:jc w:val="both"/>
      <w:textAlignment w:val="baseline"/>
      <w:outlineLvl w:val="0"/>
    </w:pPr>
    <w:rPr>
      <w:rFonts w:ascii="Times New Roman" w:eastAsia="Times New Roman" w:hAnsi="Times New Roman" w:cs="Times New Roman"/>
      <w:kern w:val="28"/>
    </w:rPr>
  </w:style>
  <w:style w:type="paragraph" w:styleId="Heading2">
    <w:name w:val="heading 2"/>
    <w:aliases w:val=" Char"/>
    <w:basedOn w:val="Normal"/>
    <w:link w:val="Heading2Char"/>
    <w:qFormat/>
    <w:rsid w:val="008D0ACD"/>
    <w:pPr>
      <w:numPr>
        <w:ilvl w:val="1"/>
        <w:numId w:val="4"/>
      </w:numPr>
      <w:overflowPunct w:val="0"/>
      <w:autoSpaceDE w:val="0"/>
      <w:autoSpaceDN w:val="0"/>
      <w:adjustRightInd w:val="0"/>
      <w:spacing w:after="240" w:line="360" w:lineRule="auto"/>
      <w:ind w:hanging="720"/>
      <w:jc w:val="both"/>
      <w:textAlignment w:val="baseline"/>
      <w:outlineLvl w:val="1"/>
    </w:pPr>
    <w:rPr>
      <w:rFonts w:ascii="Times New Roman" w:eastAsia="Times New Roman" w:hAnsi="Times New Roman" w:cs="Times New Roman"/>
    </w:rPr>
  </w:style>
  <w:style w:type="paragraph" w:styleId="Heading3">
    <w:name w:val="heading 3"/>
    <w:basedOn w:val="Normal"/>
    <w:link w:val="Heading3Char"/>
    <w:qFormat/>
    <w:rsid w:val="008D0ACD"/>
    <w:pPr>
      <w:numPr>
        <w:ilvl w:val="2"/>
        <w:numId w:val="4"/>
      </w:numPr>
      <w:overflowPunct w:val="0"/>
      <w:autoSpaceDE w:val="0"/>
      <w:autoSpaceDN w:val="0"/>
      <w:adjustRightInd w:val="0"/>
      <w:spacing w:after="240" w:line="360" w:lineRule="auto"/>
      <w:ind w:hanging="720"/>
      <w:jc w:val="both"/>
      <w:textAlignment w:val="baseline"/>
      <w:outlineLvl w:val="2"/>
    </w:pPr>
    <w:rPr>
      <w:rFonts w:ascii="Times New Roman" w:eastAsia="Times New Roman" w:hAnsi="Times New Roman" w:cs="Times New Roman"/>
    </w:rPr>
  </w:style>
  <w:style w:type="paragraph" w:styleId="Heading4">
    <w:name w:val="heading 4"/>
    <w:basedOn w:val="Normal"/>
    <w:link w:val="Heading4Char"/>
    <w:qFormat/>
    <w:rsid w:val="008D0ACD"/>
    <w:pPr>
      <w:numPr>
        <w:ilvl w:val="3"/>
        <w:numId w:val="4"/>
      </w:numPr>
      <w:overflowPunct w:val="0"/>
      <w:autoSpaceDE w:val="0"/>
      <w:autoSpaceDN w:val="0"/>
      <w:adjustRightInd w:val="0"/>
      <w:spacing w:after="240" w:line="360" w:lineRule="auto"/>
      <w:ind w:hanging="720"/>
      <w:jc w:val="both"/>
      <w:textAlignment w:val="baseline"/>
      <w:outlineLvl w:val="3"/>
    </w:pPr>
    <w:rPr>
      <w:rFonts w:ascii="Times New Roman" w:eastAsia="Times New Roman" w:hAnsi="Times New Roman" w:cs="Times New Roman"/>
    </w:rPr>
  </w:style>
  <w:style w:type="paragraph" w:styleId="Heading5">
    <w:name w:val="heading 5"/>
    <w:basedOn w:val="Normal"/>
    <w:link w:val="Heading5Char"/>
    <w:qFormat/>
    <w:rsid w:val="008D0ACD"/>
    <w:pPr>
      <w:numPr>
        <w:ilvl w:val="4"/>
        <w:numId w:val="4"/>
      </w:numPr>
      <w:overflowPunct w:val="0"/>
      <w:autoSpaceDE w:val="0"/>
      <w:autoSpaceDN w:val="0"/>
      <w:adjustRightInd w:val="0"/>
      <w:spacing w:after="240" w:line="360" w:lineRule="auto"/>
      <w:ind w:hanging="720"/>
      <w:jc w:val="both"/>
      <w:textAlignment w:val="baseline"/>
      <w:outlineLvl w:val="4"/>
    </w:pPr>
    <w:rPr>
      <w:rFonts w:ascii="Times New Roman" w:eastAsia="Times New Roman" w:hAnsi="Times New Roman" w:cs="Times New Roman"/>
    </w:rPr>
  </w:style>
  <w:style w:type="paragraph" w:styleId="Heading6">
    <w:name w:val="heading 6"/>
    <w:basedOn w:val="Heading5"/>
    <w:link w:val="Heading6Char"/>
    <w:qFormat/>
    <w:rsid w:val="008D0ACD"/>
    <w:pPr>
      <w:numPr>
        <w:ilvl w:val="5"/>
      </w:numPr>
      <w:ind w:hanging="720"/>
      <w:outlineLvl w:val="5"/>
    </w:pPr>
  </w:style>
  <w:style w:type="paragraph" w:styleId="Heading7">
    <w:name w:val="heading 7"/>
    <w:basedOn w:val="Heading6"/>
    <w:link w:val="Heading7Char"/>
    <w:qFormat/>
    <w:rsid w:val="008D0ACD"/>
    <w:pPr>
      <w:numPr>
        <w:ilvl w:val="6"/>
      </w:numPr>
      <w:ind w:hanging="720"/>
      <w:outlineLvl w:val="6"/>
    </w:pPr>
  </w:style>
  <w:style w:type="paragraph" w:styleId="Heading8">
    <w:name w:val="heading 8"/>
    <w:basedOn w:val="Normal"/>
    <w:next w:val="Normal"/>
    <w:link w:val="Heading8Char"/>
    <w:qFormat/>
    <w:rsid w:val="008D0ACD"/>
    <w:pPr>
      <w:keepNext/>
      <w:numPr>
        <w:ilvl w:val="7"/>
        <w:numId w:val="4"/>
      </w:numPr>
      <w:overflowPunct w:val="0"/>
      <w:autoSpaceDE w:val="0"/>
      <w:autoSpaceDN w:val="0"/>
      <w:adjustRightInd w:val="0"/>
      <w:spacing w:after="240" w:line="360" w:lineRule="auto"/>
      <w:ind w:firstLine="0"/>
      <w:jc w:val="center"/>
      <w:textAlignment w:val="baseline"/>
      <w:outlineLvl w:val="7"/>
    </w:pPr>
    <w:rPr>
      <w:rFonts w:ascii="Times New Roman" w:eastAsia="Times New Roman" w:hAnsi="Times New Roman" w:cs="Times New Roman"/>
      <w:b/>
      <w:bCs/>
      <w:caps/>
    </w:rPr>
  </w:style>
  <w:style w:type="paragraph" w:styleId="Heading9">
    <w:name w:val="heading 9"/>
    <w:basedOn w:val="Heading8"/>
    <w:next w:val="Normal"/>
    <w:link w:val="Heading9Char"/>
    <w:qFormat/>
    <w:rsid w:val="008D0ACD"/>
    <w:pPr>
      <w:numPr>
        <w:ilvl w:val="8"/>
      </w:numPr>
      <w:tabs>
        <w:tab w:val="num" w:pos="360"/>
      </w:tabs>
      <w:ind w:firstLine="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282"/>
    <w:pPr>
      <w:ind w:left="720"/>
      <w:contextualSpacing/>
    </w:pPr>
  </w:style>
  <w:style w:type="paragraph" w:styleId="FootnoteText">
    <w:name w:val="footnote text"/>
    <w:basedOn w:val="Normal"/>
    <w:link w:val="FootnoteTextChar"/>
    <w:uiPriority w:val="99"/>
    <w:unhideWhenUsed/>
    <w:rsid w:val="00CE5282"/>
    <w:pPr>
      <w:spacing w:after="0" w:line="240" w:lineRule="auto"/>
    </w:pPr>
    <w:rPr>
      <w:sz w:val="20"/>
      <w:szCs w:val="20"/>
    </w:rPr>
  </w:style>
  <w:style w:type="character" w:customStyle="1" w:styleId="FootnoteTextChar">
    <w:name w:val="Footnote Text Char"/>
    <w:basedOn w:val="DefaultParagraphFont"/>
    <w:link w:val="FootnoteText"/>
    <w:uiPriority w:val="99"/>
    <w:rsid w:val="00CE5282"/>
    <w:rPr>
      <w:sz w:val="20"/>
      <w:szCs w:val="20"/>
    </w:rPr>
  </w:style>
  <w:style w:type="character" w:styleId="FootnoteReference">
    <w:name w:val="footnote reference"/>
    <w:basedOn w:val="DefaultParagraphFont"/>
    <w:uiPriority w:val="99"/>
    <w:semiHidden/>
    <w:unhideWhenUsed/>
    <w:rsid w:val="00CE5282"/>
    <w:rPr>
      <w:vertAlign w:val="superscript"/>
    </w:rPr>
  </w:style>
  <w:style w:type="character" w:styleId="Hyperlink">
    <w:name w:val="Hyperlink"/>
    <w:basedOn w:val="DefaultParagraphFont"/>
    <w:unhideWhenUsed/>
    <w:rsid w:val="00CE5282"/>
    <w:rPr>
      <w:color w:val="0000FF"/>
      <w:u w:val="single"/>
    </w:rPr>
  </w:style>
  <w:style w:type="character" w:styleId="FollowedHyperlink">
    <w:name w:val="FollowedHyperlink"/>
    <w:basedOn w:val="DefaultParagraphFont"/>
    <w:uiPriority w:val="99"/>
    <w:semiHidden/>
    <w:unhideWhenUsed/>
    <w:rsid w:val="00CA7325"/>
    <w:rPr>
      <w:color w:val="954F72" w:themeColor="followedHyperlink"/>
      <w:u w:val="single"/>
    </w:rPr>
  </w:style>
  <w:style w:type="character" w:customStyle="1" w:styleId="Heading1Char">
    <w:name w:val="Heading 1 Char"/>
    <w:basedOn w:val="DefaultParagraphFont"/>
    <w:link w:val="Heading1"/>
    <w:rsid w:val="008D0ACD"/>
    <w:rPr>
      <w:rFonts w:ascii="Times New Roman" w:eastAsia="Times New Roman" w:hAnsi="Times New Roman" w:cs="Times New Roman"/>
      <w:kern w:val="28"/>
    </w:rPr>
  </w:style>
  <w:style w:type="character" w:customStyle="1" w:styleId="Heading2Char">
    <w:name w:val="Heading 2 Char"/>
    <w:aliases w:val=" Char Char"/>
    <w:basedOn w:val="DefaultParagraphFont"/>
    <w:link w:val="Heading2"/>
    <w:rsid w:val="008D0ACD"/>
    <w:rPr>
      <w:rFonts w:ascii="Times New Roman" w:eastAsia="Times New Roman" w:hAnsi="Times New Roman" w:cs="Times New Roman"/>
    </w:rPr>
  </w:style>
  <w:style w:type="character" w:customStyle="1" w:styleId="Heading3Char">
    <w:name w:val="Heading 3 Char"/>
    <w:basedOn w:val="DefaultParagraphFont"/>
    <w:link w:val="Heading3"/>
    <w:rsid w:val="008D0ACD"/>
    <w:rPr>
      <w:rFonts w:ascii="Times New Roman" w:eastAsia="Times New Roman" w:hAnsi="Times New Roman" w:cs="Times New Roman"/>
    </w:rPr>
  </w:style>
  <w:style w:type="character" w:customStyle="1" w:styleId="Heading4Char">
    <w:name w:val="Heading 4 Char"/>
    <w:basedOn w:val="DefaultParagraphFont"/>
    <w:link w:val="Heading4"/>
    <w:rsid w:val="008D0ACD"/>
    <w:rPr>
      <w:rFonts w:ascii="Times New Roman" w:eastAsia="Times New Roman" w:hAnsi="Times New Roman" w:cs="Times New Roman"/>
    </w:rPr>
  </w:style>
  <w:style w:type="character" w:customStyle="1" w:styleId="Heading5Char">
    <w:name w:val="Heading 5 Char"/>
    <w:basedOn w:val="DefaultParagraphFont"/>
    <w:link w:val="Heading5"/>
    <w:rsid w:val="008D0ACD"/>
    <w:rPr>
      <w:rFonts w:ascii="Times New Roman" w:eastAsia="Times New Roman" w:hAnsi="Times New Roman" w:cs="Times New Roman"/>
    </w:rPr>
  </w:style>
  <w:style w:type="character" w:customStyle="1" w:styleId="Heading6Char">
    <w:name w:val="Heading 6 Char"/>
    <w:basedOn w:val="DefaultParagraphFont"/>
    <w:link w:val="Heading6"/>
    <w:rsid w:val="008D0ACD"/>
    <w:rPr>
      <w:rFonts w:ascii="Times New Roman" w:eastAsia="Times New Roman" w:hAnsi="Times New Roman" w:cs="Times New Roman"/>
    </w:rPr>
  </w:style>
  <w:style w:type="character" w:customStyle="1" w:styleId="Heading7Char">
    <w:name w:val="Heading 7 Char"/>
    <w:basedOn w:val="DefaultParagraphFont"/>
    <w:link w:val="Heading7"/>
    <w:rsid w:val="008D0ACD"/>
    <w:rPr>
      <w:rFonts w:ascii="Times New Roman" w:eastAsia="Times New Roman" w:hAnsi="Times New Roman" w:cs="Times New Roman"/>
    </w:rPr>
  </w:style>
  <w:style w:type="character" w:customStyle="1" w:styleId="Heading8Char">
    <w:name w:val="Heading 8 Char"/>
    <w:basedOn w:val="DefaultParagraphFont"/>
    <w:link w:val="Heading8"/>
    <w:rsid w:val="008D0ACD"/>
    <w:rPr>
      <w:rFonts w:ascii="Times New Roman" w:eastAsia="Times New Roman" w:hAnsi="Times New Roman" w:cs="Times New Roman"/>
      <w:b/>
      <w:bCs/>
      <w:caps/>
    </w:rPr>
  </w:style>
  <w:style w:type="character" w:customStyle="1" w:styleId="Heading9Char">
    <w:name w:val="Heading 9 Char"/>
    <w:basedOn w:val="DefaultParagraphFont"/>
    <w:link w:val="Heading9"/>
    <w:rsid w:val="008D0ACD"/>
    <w:rPr>
      <w:rFonts w:ascii="Times New Roman" w:eastAsia="Times New Roman" w:hAnsi="Times New Roman" w:cs="Times New Roman"/>
      <w:b/>
      <w:bCs/>
    </w:rPr>
  </w:style>
  <w:style w:type="paragraph" w:customStyle="1" w:styleId="Footnote">
    <w:name w:val="Footnote"/>
    <w:basedOn w:val="Normal"/>
    <w:rsid w:val="002F3B84"/>
    <w:pPr>
      <w:spacing w:before="120" w:after="120" w:line="240" w:lineRule="auto"/>
      <w:jc w:val="both"/>
    </w:pPr>
    <w:rPr>
      <w:rFonts w:ascii="Times New Roman" w:eastAsia="Times New Roman" w:hAnsi="Times New Roman" w:cs="Times New Roman"/>
      <w:sz w:val="18"/>
      <w:szCs w:val="24"/>
      <w:lang w:val="en-US"/>
    </w:rPr>
  </w:style>
  <w:style w:type="paragraph" w:customStyle="1" w:styleId="Para">
    <w:name w:val="Para"/>
    <w:basedOn w:val="Normal"/>
    <w:rsid w:val="002F3B84"/>
    <w:pPr>
      <w:tabs>
        <w:tab w:val="left" w:pos="360"/>
      </w:tabs>
      <w:spacing w:before="60" w:after="60" w:line="240" w:lineRule="auto"/>
      <w:ind w:left="864" w:hanging="864"/>
      <w:jc w:val="both"/>
    </w:pPr>
    <w:rPr>
      <w:rFonts w:ascii="Times New Roman" w:eastAsia="Times New Roman" w:hAnsi="Times New Roman" w:cs="Times New Roman"/>
      <w:sz w:val="20"/>
      <w:szCs w:val="24"/>
      <w:lang w:val="en-US"/>
    </w:rPr>
  </w:style>
  <w:style w:type="paragraph" w:customStyle="1" w:styleId="Extract">
    <w:name w:val="Extract"/>
    <w:basedOn w:val="Normal"/>
    <w:rsid w:val="002F3B84"/>
    <w:pPr>
      <w:spacing w:after="0" w:line="240" w:lineRule="auto"/>
      <w:ind w:left="1080" w:right="360"/>
      <w:jc w:val="both"/>
    </w:pPr>
    <w:rPr>
      <w:rFonts w:ascii="Times New Roman" w:eastAsia="Times New Roman" w:hAnsi="Times New Roman" w:cs="Century"/>
      <w:sz w:val="20"/>
      <w:szCs w:val="24"/>
      <w:lang w:val="en-US"/>
    </w:rPr>
  </w:style>
  <w:style w:type="paragraph" w:customStyle="1" w:styleId="list1">
    <w:name w:val="list1"/>
    <w:basedOn w:val="Normal"/>
    <w:autoRedefine/>
    <w:rsid w:val="00351F3A"/>
    <w:pPr>
      <w:numPr>
        <w:numId w:val="16"/>
      </w:numPr>
      <w:spacing w:before="120" w:after="120" w:line="240" w:lineRule="auto"/>
      <w:jc w:val="both"/>
    </w:pPr>
    <w:rPr>
      <w:rFonts w:cs="Times New Roman"/>
      <w:b/>
      <w:smallCaps/>
      <w:sz w:val="24"/>
      <w:szCs w:val="24"/>
      <w:lang w:val="en-US"/>
    </w:rPr>
  </w:style>
  <w:style w:type="character" w:styleId="Emphasis">
    <w:name w:val="Emphasis"/>
    <w:basedOn w:val="DefaultParagraphFont"/>
    <w:uiPriority w:val="20"/>
    <w:qFormat/>
    <w:rsid w:val="002672EB"/>
    <w:rPr>
      <w:i/>
      <w:iCs/>
    </w:rPr>
  </w:style>
  <w:style w:type="character" w:customStyle="1" w:styleId="apple-converted-space">
    <w:name w:val="apple-converted-space"/>
    <w:basedOn w:val="DefaultParagraphFont"/>
    <w:rsid w:val="002672EB"/>
  </w:style>
  <w:style w:type="paragraph" w:customStyle="1" w:styleId="ParaLevel9">
    <w:name w:val="ParaLevel9"/>
    <w:basedOn w:val="Normal"/>
    <w:rsid w:val="009224BC"/>
    <w:pPr>
      <w:tabs>
        <w:tab w:val="num" w:pos="6381"/>
      </w:tabs>
      <w:suppressAutoHyphens/>
      <w:spacing w:before="240" w:after="240" w:line="240" w:lineRule="auto"/>
      <w:ind w:left="6381" w:hanging="709"/>
      <w:jc w:val="both"/>
      <w:outlineLvl w:val="8"/>
    </w:pPr>
    <w:rPr>
      <w:rFonts w:ascii="Times New Roman" w:eastAsia="Times New Roman" w:hAnsi="Times New Roman" w:cs="Times New Roman"/>
      <w:sz w:val="24"/>
      <w:szCs w:val="20"/>
    </w:rPr>
  </w:style>
  <w:style w:type="character" w:styleId="CommentReference">
    <w:name w:val="annotation reference"/>
    <w:semiHidden/>
    <w:rsid w:val="009224BC"/>
    <w:rPr>
      <w:sz w:val="16"/>
      <w:szCs w:val="16"/>
    </w:rPr>
  </w:style>
  <w:style w:type="paragraph" w:styleId="CommentText">
    <w:name w:val="annotation text"/>
    <w:basedOn w:val="Normal"/>
    <w:link w:val="CommentTextChar"/>
    <w:semiHidden/>
    <w:rsid w:val="009224B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224BC"/>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21BE0"/>
    <w:pPr>
      <w:spacing w:after="120" w:line="276" w:lineRule="auto"/>
    </w:pPr>
    <w:rPr>
      <w:rFonts w:ascii="Cambria" w:eastAsia="Cambria" w:hAnsi="Cambria" w:cs="Times New Roman"/>
      <w:i/>
      <w:iCs/>
      <w:color w:val="000000"/>
      <w:lang w:val="x-none"/>
    </w:rPr>
  </w:style>
  <w:style w:type="character" w:customStyle="1" w:styleId="QuoteChar">
    <w:name w:val="Quote Char"/>
    <w:basedOn w:val="DefaultParagraphFont"/>
    <w:link w:val="Quote"/>
    <w:uiPriority w:val="29"/>
    <w:rsid w:val="00321BE0"/>
    <w:rPr>
      <w:rFonts w:ascii="Cambria" w:eastAsia="Cambria" w:hAnsi="Cambria" w:cs="Times New Roman"/>
      <w:i/>
      <w:iCs/>
      <w:color w:val="000000"/>
      <w:lang w:val="x-none"/>
    </w:rPr>
  </w:style>
  <w:style w:type="paragraph" w:styleId="BalloonText">
    <w:name w:val="Balloon Text"/>
    <w:basedOn w:val="Normal"/>
    <w:link w:val="BalloonTextChar"/>
    <w:uiPriority w:val="99"/>
    <w:semiHidden/>
    <w:unhideWhenUsed/>
    <w:rsid w:val="0007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0D"/>
    <w:rPr>
      <w:rFonts w:ascii="Segoe UI" w:hAnsi="Segoe UI" w:cs="Segoe UI"/>
      <w:sz w:val="18"/>
      <w:szCs w:val="18"/>
    </w:rPr>
  </w:style>
  <w:style w:type="paragraph" w:styleId="Header">
    <w:name w:val="header"/>
    <w:basedOn w:val="Normal"/>
    <w:link w:val="HeaderChar"/>
    <w:uiPriority w:val="99"/>
    <w:unhideWhenUsed/>
    <w:rsid w:val="00294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A4"/>
  </w:style>
  <w:style w:type="paragraph" w:styleId="Footer">
    <w:name w:val="footer"/>
    <w:basedOn w:val="Normal"/>
    <w:link w:val="FooterChar"/>
    <w:uiPriority w:val="99"/>
    <w:unhideWhenUsed/>
    <w:rsid w:val="00294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A4"/>
  </w:style>
  <w:style w:type="paragraph" w:customStyle="1" w:styleId="ASQC">
    <w:name w:val="ASQC"/>
    <w:basedOn w:val="ListParagraph"/>
    <w:link w:val="ASQCChar"/>
    <w:qFormat/>
    <w:rsid w:val="008516D4"/>
    <w:pPr>
      <w:numPr>
        <w:numId w:val="11"/>
      </w:numPr>
      <w:ind w:left="567" w:hanging="567"/>
    </w:pPr>
    <w:rPr>
      <w:sz w:val="24"/>
      <w:szCs w:val="24"/>
    </w:rPr>
  </w:style>
  <w:style w:type="character" w:customStyle="1" w:styleId="ListParagraphChar">
    <w:name w:val="List Paragraph Char"/>
    <w:basedOn w:val="DefaultParagraphFont"/>
    <w:link w:val="ListParagraph"/>
    <w:uiPriority w:val="34"/>
    <w:rsid w:val="008516D4"/>
  </w:style>
  <w:style w:type="character" w:customStyle="1" w:styleId="ASQCChar">
    <w:name w:val="ASQC Char"/>
    <w:basedOn w:val="ListParagraphChar"/>
    <w:link w:val="ASQC"/>
    <w:rsid w:val="008516D4"/>
    <w:rPr>
      <w:sz w:val="24"/>
      <w:szCs w:val="24"/>
    </w:rPr>
  </w:style>
  <w:style w:type="paragraph" w:customStyle="1" w:styleId="Npara">
    <w:name w:val="Npara"/>
    <w:basedOn w:val="Para"/>
    <w:rsid w:val="000A52CC"/>
    <w:pPr>
      <w:ind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4L0057" TargetMode="External"/><Relationship Id="rId2" Type="http://schemas.openxmlformats.org/officeDocument/2006/relationships/hyperlink" Target="http://europa.eu/rapid/press-release_MEMO-14-77_en.htm" TargetMode="External"/><Relationship Id="rId1" Type="http://schemas.openxmlformats.org/officeDocument/2006/relationships/hyperlink" Target="https://en.wikipedia.org/wiki/J%C3%A9r%C3%B4me_Kerviel" TargetMode="External"/><Relationship Id="rId6" Type="http://schemas.openxmlformats.org/officeDocument/2006/relationships/hyperlink" Target="http://www.commonlii.org/cgi-bin/disp.pl/uk/cases/EngR/1850/708.pdf?stem=0&amp;synonyms=0&amp;query=forestalling" TargetMode="External"/><Relationship Id="rId5" Type="http://schemas.openxmlformats.org/officeDocument/2006/relationships/hyperlink" Target="http://www.commonlii.org/cgi-bin/disp.pl/uk/cases/EngR/1724/467.pdf?stem=0&amp;synonyms=0&amp;query=forestalling" TargetMode="External"/><Relationship Id="rId4" Type="http://schemas.openxmlformats.org/officeDocument/2006/relationships/hyperlink" Target="http://www.fao.org/docrep/013/i2107e/i210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66F474-47CB-41F3-827C-18E195C767D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9640-DE20-42D7-9A97-C8F1B34D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8010</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Shaw</dc:creator>
  <cp:lastModifiedBy>DanielBurbidge</cp:lastModifiedBy>
  <cp:revision>3</cp:revision>
  <cp:lastPrinted>2016-09-18T10:38:00Z</cp:lastPrinted>
  <dcterms:created xsi:type="dcterms:W3CDTF">2016-09-20T14:18:00Z</dcterms:created>
  <dcterms:modified xsi:type="dcterms:W3CDTF">2016-09-20T15:58:00Z</dcterms:modified>
</cp:coreProperties>
</file>